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62F8" w14:textId="77777777" w:rsidR="00943505" w:rsidRPr="00943505" w:rsidRDefault="00943505" w:rsidP="00736455">
      <w:pPr>
        <w:spacing w:after="120"/>
        <w:jc w:val="center"/>
        <w:rPr>
          <w:rFonts w:asciiTheme="minorHAnsi" w:hAnsiTheme="minorHAnsi"/>
          <w:b/>
          <w:sz w:val="36"/>
          <w:szCs w:val="36"/>
        </w:rPr>
      </w:pPr>
      <w:bookmarkStart w:id="0" w:name="_Toc480704475"/>
      <w:bookmarkStart w:id="1" w:name="_Toc150384893"/>
      <w:bookmarkStart w:id="2" w:name="_Toc259003528"/>
      <w:bookmarkStart w:id="3" w:name="_Toc259003603"/>
      <w:bookmarkStart w:id="4" w:name="_Toc267307098"/>
      <w:r w:rsidRPr="00943505">
        <w:rPr>
          <w:rFonts w:asciiTheme="minorHAnsi" w:hAnsiTheme="minorHAnsi"/>
          <w:b/>
          <w:noProof/>
        </w:rPr>
        <mc:AlternateContent>
          <mc:Choice Requires="wps">
            <w:drawing>
              <wp:anchor distT="45720" distB="45720" distL="114300" distR="114300" simplePos="0" relativeHeight="251659264" behindDoc="0" locked="0" layoutInCell="1" allowOverlap="1" wp14:anchorId="7BBC635D" wp14:editId="7BBC635E">
                <wp:simplePos x="0" y="0"/>
                <wp:positionH relativeFrom="margin">
                  <wp:align>right</wp:align>
                </wp:positionH>
                <wp:positionV relativeFrom="paragraph">
                  <wp:posOffset>468630</wp:posOffset>
                </wp:positionV>
                <wp:extent cx="57626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38125"/>
                        </a:xfrm>
                        <a:prstGeom prst="rect">
                          <a:avLst/>
                        </a:prstGeom>
                        <a:solidFill>
                          <a:srgbClr val="FFFFFF"/>
                        </a:solidFill>
                        <a:ln w="9525">
                          <a:solidFill>
                            <a:srgbClr val="000000"/>
                          </a:solidFill>
                          <a:miter lim="800000"/>
                          <a:headEnd/>
                          <a:tailEnd/>
                        </a:ln>
                      </wps:spPr>
                      <wps:txbx>
                        <w:txbxContent>
                          <w:p w14:paraId="7BBC636B" w14:textId="77777777" w:rsidR="00943505" w:rsidRPr="00943505" w:rsidRDefault="00943505" w:rsidP="00943505">
                            <w:pPr>
                              <w:jc w:val="center"/>
                              <w:rPr>
                                <w:rFonts w:asciiTheme="minorHAnsi" w:hAnsiTheme="minorHAnsi"/>
                                <w:b/>
                              </w:rPr>
                            </w:pPr>
                            <w:r w:rsidRPr="00943505">
                              <w:rPr>
                                <w:rFonts w:asciiTheme="minorHAnsi" w:hAnsiTheme="minorHAnsi"/>
                                <w:b/>
                              </w:rPr>
                              <w:t>EQUALITY AND DIVERSITY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C635D" id="_x0000_t202" coordsize="21600,21600" o:spt="202" path="m,l,21600r21600,l21600,xe">
                <v:stroke joinstyle="miter"/>
                <v:path gradientshapeok="t" o:connecttype="rect"/>
              </v:shapetype>
              <v:shape id="Text Box 2" o:spid="_x0000_s1026" type="#_x0000_t202" style="position:absolute;left:0;text-align:left;margin-left:402.55pt;margin-top:36.9pt;width:453.7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">
                <v:textbox>
                  <w:txbxContent>
                    <w:p w14:paraId="7BBC636B" w14:textId="77777777" w:rsidR="00943505" w:rsidRPr="00943505" w:rsidRDefault="00943505" w:rsidP="00943505">
                      <w:pPr>
                        <w:jc w:val="center"/>
                        <w:rPr>
                          <w:rFonts w:asciiTheme="minorHAnsi" w:hAnsiTheme="minorHAnsi"/>
                          <w:b/>
                        </w:rPr>
                      </w:pPr>
                      <w:r w:rsidRPr="00943505">
                        <w:rPr>
                          <w:rFonts w:asciiTheme="minorHAnsi" w:hAnsiTheme="minorHAnsi"/>
                          <w:b/>
                        </w:rPr>
                        <w:t>EQUALITY AND DIVERSITY POLICY</w:t>
                      </w:r>
                    </w:p>
                  </w:txbxContent>
                </v:textbox>
                <w10:wrap type="square" anchorx="margin"/>
              </v:shape>
            </w:pict>
          </mc:Fallback>
        </mc:AlternateContent>
      </w:r>
      <w:r w:rsidRPr="00943505">
        <w:rPr>
          <w:rFonts w:asciiTheme="minorHAnsi" w:hAnsiTheme="minorHAnsi"/>
          <w:b/>
          <w:sz w:val="36"/>
          <w:szCs w:val="36"/>
        </w:rPr>
        <w:t>Gorse Hill Studios Creative Community</w:t>
      </w:r>
    </w:p>
    <w:p w14:paraId="7BBC62F9" w14:textId="77777777" w:rsidR="00943505" w:rsidRPr="00943505" w:rsidRDefault="00943505" w:rsidP="00736455">
      <w:pPr>
        <w:pStyle w:val="Heading9"/>
        <w:pBdr>
          <w:right w:val="single" w:sz="4" w:space="0" w:color="auto"/>
        </w:pBdr>
        <w:spacing w:after="120"/>
        <w:jc w:val="both"/>
        <w:rPr>
          <w:rFonts w:asciiTheme="minorHAnsi" w:hAnsiTheme="minorHAnsi"/>
        </w:rPr>
      </w:pPr>
    </w:p>
    <w:tbl>
      <w:tblPr>
        <w:tblW w:w="91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943505" w:rsidRPr="00943505" w14:paraId="7BBC62FF" w14:textId="77777777" w:rsidTr="00431839">
        <w:trPr>
          <w:cantSplit/>
        </w:trPr>
        <w:tc>
          <w:tcPr>
            <w:tcW w:w="817" w:type="dxa"/>
            <w:tcBorders>
              <w:top w:val="single" w:sz="18" w:space="0" w:color="auto"/>
              <w:left w:val="single" w:sz="18" w:space="0" w:color="auto"/>
              <w:bottom w:val="single" w:sz="4" w:space="0" w:color="auto"/>
              <w:right w:val="single" w:sz="4" w:space="0" w:color="auto"/>
            </w:tcBorders>
            <w:hideMark/>
          </w:tcPr>
          <w:p w14:paraId="7BBC62FA"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Issue</w:t>
            </w:r>
          </w:p>
        </w:tc>
        <w:tc>
          <w:tcPr>
            <w:tcW w:w="992" w:type="dxa"/>
            <w:tcBorders>
              <w:top w:val="single" w:sz="18" w:space="0" w:color="auto"/>
              <w:left w:val="single" w:sz="4" w:space="0" w:color="auto"/>
              <w:bottom w:val="single" w:sz="4" w:space="0" w:color="auto"/>
              <w:right w:val="single" w:sz="4" w:space="0" w:color="auto"/>
            </w:tcBorders>
            <w:hideMark/>
          </w:tcPr>
          <w:p w14:paraId="7BBC62FB"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Page(s)</w:t>
            </w:r>
          </w:p>
        </w:tc>
        <w:tc>
          <w:tcPr>
            <w:tcW w:w="1240" w:type="dxa"/>
            <w:tcBorders>
              <w:top w:val="single" w:sz="18" w:space="0" w:color="auto"/>
              <w:left w:val="single" w:sz="4" w:space="0" w:color="auto"/>
              <w:bottom w:val="single" w:sz="4" w:space="0" w:color="auto"/>
              <w:right w:val="single" w:sz="4" w:space="0" w:color="auto"/>
            </w:tcBorders>
            <w:hideMark/>
          </w:tcPr>
          <w:p w14:paraId="7BBC62FC"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Issue Date</w:t>
            </w:r>
          </w:p>
        </w:tc>
        <w:tc>
          <w:tcPr>
            <w:tcW w:w="5245" w:type="dxa"/>
            <w:tcBorders>
              <w:top w:val="single" w:sz="18" w:space="0" w:color="auto"/>
              <w:left w:val="single" w:sz="4" w:space="0" w:color="auto"/>
              <w:bottom w:val="single" w:sz="4" w:space="0" w:color="auto"/>
              <w:right w:val="single" w:sz="4" w:space="0" w:color="auto"/>
            </w:tcBorders>
            <w:hideMark/>
          </w:tcPr>
          <w:p w14:paraId="7BBC62FD"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7BBC62FE"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Initials</w:t>
            </w:r>
          </w:p>
        </w:tc>
      </w:tr>
      <w:tr w:rsidR="00943505" w:rsidRPr="00943505" w14:paraId="7BBC6305" w14:textId="77777777" w:rsidTr="00431839">
        <w:trPr>
          <w:cantSplit/>
        </w:trPr>
        <w:tc>
          <w:tcPr>
            <w:tcW w:w="817" w:type="dxa"/>
            <w:tcBorders>
              <w:top w:val="single" w:sz="4" w:space="0" w:color="auto"/>
              <w:left w:val="single" w:sz="18" w:space="0" w:color="auto"/>
              <w:bottom w:val="single" w:sz="4" w:space="0" w:color="auto"/>
              <w:right w:val="single" w:sz="4" w:space="0" w:color="auto"/>
            </w:tcBorders>
            <w:vAlign w:val="center"/>
            <w:hideMark/>
          </w:tcPr>
          <w:p w14:paraId="7BBC6300"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1</w:t>
            </w:r>
          </w:p>
        </w:tc>
        <w:tc>
          <w:tcPr>
            <w:tcW w:w="992" w:type="dxa"/>
            <w:tcBorders>
              <w:top w:val="single" w:sz="4" w:space="0" w:color="auto"/>
              <w:left w:val="single" w:sz="4" w:space="0" w:color="auto"/>
              <w:bottom w:val="single" w:sz="4" w:space="0" w:color="auto"/>
              <w:right w:val="single" w:sz="4" w:space="0" w:color="auto"/>
            </w:tcBorders>
            <w:hideMark/>
          </w:tcPr>
          <w:p w14:paraId="7BBC6301"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All</w:t>
            </w:r>
          </w:p>
        </w:tc>
        <w:tc>
          <w:tcPr>
            <w:tcW w:w="1240" w:type="dxa"/>
            <w:tcBorders>
              <w:top w:val="single" w:sz="4" w:space="0" w:color="auto"/>
              <w:left w:val="single" w:sz="4" w:space="0" w:color="auto"/>
              <w:bottom w:val="single" w:sz="4" w:space="0" w:color="auto"/>
              <w:right w:val="single" w:sz="4" w:space="0" w:color="auto"/>
            </w:tcBorders>
            <w:hideMark/>
          </w:tcPr>
          <w:p w14:paraId="7BBC6302"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July 2017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BBC6303"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All</w:t>
            </w:r>
          </w:p>
        </w:tc>
        <w:tc>
          <w:tcPr>
            <w:tcW w:w="886" w:type="dxa"/>
            <w:tcBorders>
              <w:top w:val="single" w:sz="4" w:space="0" w:color="auto"/>
              <w:left w:val="single" w:sz="4" w:space="0" w:color="auto"/>
              <w:bottom w:val="single" w:sz="4" w:space="0" w:color="auto"/>
              <w:right w:val="single" w:sz="18" w:space="0" w:color="auto"/>
            </w:tcBorders>
            <w:vAlign w:val="center"/>
            <w:hideMark/>
          </w:tcPr>
          <w:p w14:paraId="7BBC6304"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JL</w:t>
            </w:r>
          </w:p>
        </w:tc>
      </w:tr>
      <w:tr w:rsidR="00943505" w:rsidRPr="00943505" w14:paraId="7BBC630B" w14:textId="77777777" w:rsidTr="00431839">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7BBC6306" w14:textId="77777777" w:rsidR="00943505" w:rsidRPr="00943505" w:rsidRDefault="00943505" w:rsidP="00736455">
            <w:pPr>
              <w:spacing w:after="120"/>
              <w:jc w:val="both"/>
              <w:rPr>
                <w:rFonts w:asciiTheme="minorHAnsi" w:hAnsiTheme="minorHAnsi" w:cs="Calibri"/>
              </w:rPr>
            </w:pPr>
          </w:p>
        </w:tc>
        <w:tc>
          <w:tcPr>
            <w:tcW w:w="992" w:type="dxa"/>
            <w:tcBorders>
              <w:top w:val="single" w:sz="4" w:space="0" w:color="auto"/>
              <w:left w:val="single" w:sz="4" w:space="0" w:color="auto"/>
              <w:bottom w:val="single" w:sz="4" w:space="0" w:color="auto"/>
              <w:right w:val="single" w:sz="4" w:space="0" w:color="auto"/>
            </w:tcBorders>
          </w:tcPr>
          <w:p w14:paraId="7BBC6307" w14:textId="77777777" w:rsidR="00943505" w:rsidRPr="00943505" w:rsidRDefault="00943505" w:rsidP="00736455">
            <w:pPr>
              <w:spacing w:after="120"/>
              <w:jc w:val="both"/>
              <w:rPr>
                <w:rFonts w:asciiTheme="minorHAnsi" w:hAnsiTheme="minorHAnsi" w:cs="Calibri"/>
              </w:rPr>
            </w:pPr>
          </w:p>
        </w:tc>
        <w:tc>
          <w:tcPr>
            <w:tcW w:w="1240" w:type="dxa"/>
            <w:tcBorders>
              <w:top w:val="single" w:sz="4" w:space="0" w:color="auto"/>
              <w:left w:val="single" w:sz="4" w:space="0" w:color="auto"/>
              <w:bottom w:val="single" w:sz="4" w:space="0" w:color="auto"/>
              <w:right w:val="single" w:sz="4" w:space="0" w:color="auto"/>
            </w:tcBorders>
          </w:tcPr>
          <w:p w14:paraId="7BBC6308" w14:textId="77777777" w:rsidR="00943505" w:rsidRPr="00943505" w:rsidRDefault="00943505" w:rsidP="00736455">
            <w:pPr>
              <w:spacing w:after="120"/>
              <w:jc w:val="both"/>
              <w:rPr>
                <w:rFonts w:asciiTheme="minorHAnsi" w:hAnsiTheme="minorHAnsi" w:cs="Calibri"/>
              </w:rPr>
            </w:pPr>
          </w:p>
        </w:tc>
        <w:tc>
          <w:tcPr>
            <w:tcW w:w="5245" w:type="dxa"/>
            <w:tcBorders>
              <w:top w:val="single" w:sz="4" w:space="0" w:color="auto"/>
              <w:left w:val="single" w:sz="4" w:space="0" w:color="auto"/>
              <w:bottom w:val="single" w:sz="4" w:space="0" w:color="auto"/>
              <w:right w:val="single" w:sz="4" w:space="0" w:color="auto"/>
            </w:tcBorders>
            <w:vAlign w:val="center"/>
          </w:tcPr>
          <w:p w14:paraId="7BBC6309" w14:textId="77777777" w:rsidR="00943505" w:rsidRPr="00943505" w:rsidRDefault="00943505" w:rsidP="00736455">
            <w:pPr>
              <w:spacing w:after="120"/>
              <w:jc w:val="both"/>
              <w:rPr>
                <w:rFonts w:asciiTheme="minorHAnsi" w:hAnsiTheme="minorHAnsi" w:cs="Calibri"/>
              </w:rPr>
            </w:pPr>
          </w:p>
        </w:tc>
        <w:tc>
          <w:tcPr>
            <w:tcW w:w="886" w:type="dxa"/>
            <w:tcBorders>
              <w:top w:val="single" w:sz="4" w:space="0" w:color="auto"/>
              <w:left w:val="single" w:sz="4" w:space="0" w:color="auto"/>
              <w:bottom w:val="single" w:sz="4" w:space="0" w:color="auto"/>
              <w:right w:val="single" w:sz="18" w:space="0" w:color="auto"/>
            </w:tcBorders>
            <w:vAlign w:val="center"/>
          </w:tcPr>
          <w:p w14:paraId="7BBC630A" w14:textId="77777777" w:rsidR="00943505" w:rsidRPr="00943505" w:rsidRDefault="00943505" w:rsidP="00736455">
            <w:pPr>
              <w:spacing w:after="120"/>
              <w:jc w:val="both"/>
              <w:rPr>
                <w:rFonts w:asciiTheme="minorHAnsi" w:hAnsiTheme="minorHAnsi" w:cs="Calibri"/>
              </w:rPr>
            </w:pPr>
          </w:p>
        </w:tc>
      </w:tr>
      <w:tr w:rsidR="00943505" w:rsidRPr="00943505" w14:paraId="7BBC6311" w14:textId="77777777" w:rsidTr="00431839">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7BBC630C" w14:textId="77777777" w:rsidR="00943505" w:rsidRPr="00943505" w:rsidRDefault="00943505" w:rsidP="00736455">
            <w:pPr>
              <w:spacing w:after="120"/>
              <w:jc w:val="both"/>
              <w:rPr>
                <w:rFonts w:asciiTheme="minorHAnsi" w:hAnsiTheme="minorHAnsi" w:cs="Calibri"/>
              </w:rPr>
            </w:pPr>
          </w:p>
        </w:tc>
        <w:tc>
          <w:tcPr>
            <w:tcW w:w="992" w:type="dxa"/>
            <w:tcBorders>
              <w:top w:val="single" w:sz="4" w:space="0" w:color="auto"/>
              <w:left w:val="single" w:sz="4" w:space="0" w:color="auto"/>
              <w:bottom w:val="single" w:sz="4" w:space="0" w:color="auto"/>
              <w:right w:val="single" w:sz="4" w:space="0" w:color="auto"/>
            </w:tcBorders>
          </w:tcPr>
          <w:p w14:paraId="7BBC630D" w14:textId="77777777" w:rsidR="00943505" w:rsidRPr="00943505" w:rsidRDefault="00943505" w:rsidP="00736455">
            <w:pPr>
              <w:spacing w:after="120"/>
              <w:jc w:val="both"/>
              <w:rPr>
                <w:rFonts w:asciiTheme="minorHAnsi" w:hAnsiTheme="minorHAnsi" w:cs="Calibri"/>
              </w:rPr>
            </w:pPr>
          </w:p>
        </w:tc>
        <w:tc>
          <w:tcPr>
            <w:tcW w:w="1240" w:type="dxa"/>
            <w:tcBorders>
              <w:top w:val="single" w:sz="4" w:space="0" w:color="auto"/>
              <w:left w:val="single" w:sz="4" w:space="0" w:color="auto"/>
              <w:bottom w:val="single" w:sz="4" w:space="0" w:color="auto"/>
              <w:right w:val="single" w:sz="4" w:space="0" w:color="auto"/>
            </w:tcBorders>
          </w:tcPr>
          <w:p w14:paraId="7BBC630E" w14:textId="77777777" w:rsidR="00943505" w:rsidRPr="00943505" w:rsidRDefault="00943505" w:rsidP="00736455">
            <w:pPr>
              <w:spacing w:after="120"/>
              <w:jc w:val="both"/>
              <w:rPr>
                <w:rFonts w:asciiTheme="minorHAnsi" w:hAnsiTheme="minorHAnsi" w:cs="Calibri"/>
              </w:rPr>
            </w:pPr>
          </w:p>
        </w:tc>
        <w:tc>
          <w:tcPr>
            <w:tcW w:w="5245" w:type="dxa"/>
            <w:tcBorders>
              <w:top w:val="single" w:sz="4" w:space="0" w:color="auto"/>
              <w:left w:val="single" w:sz="4" w:space="0" w:color="auto"/>
              <w:bottom w:val="single" w:sz="4" w:space="0" w:color="auto"/>
              <w:right w:val="single" w:sz="4" w:space="0" w:color="auto"/>
            </w:tcBorders>
            <w:vAlign w:val="center"/>
          </w:tcPr>
          <w:p w14:paraId="7BBC630F" w14:textId="77777777" w:rsidR="00943505" w:rsidRPr="00943505" w:rsidRDefault="00943505" w:rsidP="00736455">
            <w:pPr>
              <w:spacing w:after="120"/>
              <w:jc w:val="both"/>
              <w:rPr>
                <w:rFonts w:asciiTheme="minorHAnsi" w:hAnsiTheme="minorHAnsi" w:cs="Calibri"/>
              </w:rPr>
            </w:pPr>
          </w:p>
        </w:tc>
        <w:tc>
          <w:tcPr>
            <w:tcW w:w="886" w:type="dxa"/>
            <w:tcBorders>
              <w:top w:val="single" w:sz="4" w:space="0" w:color="auto"/>
              <w:left w:val="single" w:sz="4" w:space="0" w:color="auto"/>
              <w:bottom w:val="single" w:sz="4" w:space="0" w:color="auto"/>
              <w:right w:val="single" w:sz="18" w:space="0" w:color="auto"/>
            </w:tcBorders>
            <w:vAlign w:val="center"/>
          </w:tcPr>
          <w:p w14:paraId="7BBC6310" w14:textId="77777777" w:rsidR="00943505" w:rsidRPr="00943505" w:rsidRDefault="00943505" w:rsidP="00736455">
            <w:pPr>
              <w:spacing w:after="120"/>
              <w:jc w:val="both"/>
              <w:rPr>
                <w:rFonts w:asciiTheme="minorHAnsi" w:hAnsiTheme="minorHAnsi" w:cs="Calibri"/>
              </w:rPr>
            </w:pPr>
          </w:p>
        </w:tc>
      </w:tr>
      <w:tr w:rsidR="00943505" w:rsidRPr="00943505" w14:paraId="7BBC6317" w14:textId="77777777" w:rsidTr="00431839">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7BBC6312" w14:textId="77777777" w:rsidR="00943505" w:rsidRPr="00943505" w:rsidRDefault="00943505" w:rsidP="00736455">
            <w:pPr>
              <w:spacing w:after="120"/>
              <w:jc w:val="both"/>
              <w:rPr>
                <w:rFonts w:asciiTheme="minorHAnsi" w:hAnsiTheme="minorHAnsi" w:cs="Calibri"/>
              </w:rPr>
            </w:pPr>
          </w:p>
        </w:tc>
        <w:tc>
          <w:tcPr>
            <w:tcW w:w="992" w:type="dxa"/>
            <w:tcBorders>
              <w:top w:val="single" w:sz="4" w:space="0" w:color="auto"/>
              <w:left w:val="single" w:sz="4" w:space="0" w:color="auto"/>
              <w:bottom w:val="single" w:sz="18" w:space="0" w:color="auto"/>
              <w:right w:val="single" w:sz="4" w:space="0" w:color="auto"/>
            </w:tcBorders>
          </w:tcPr>
          <w:p w14:paraId="7BBC6313" w14:textId="77777777" w:rsidR="00943505" w:rsidRPr="00943505" w:rsidRDefault="00943505" w:rsidP="00736455">
            <w:pPr>
              <w:spacing w:after="120"/>
              <w:jc w:val="both"/>
              <w:rPr>
                <w:rFonts w:asciiTheme="minorHAnsi" w:hAnsiTheme="minorHAnsi" w:cs="Calibri"/>
              </w:rPr>
            </w:pPr>
          </w:p>
        </w:tc>
        <w:tc>
          <w:tcPr>
            <w:tcW w:w="1240" w:type="dxa"/>
            <w:tcBorders>
              <w:top w:val="single" w:sz="4" w:space="0" w:color="auto"/>
              <w:left w:val="single" w:sz="4" w:space="0" w:color="auto"/>
              <w:bottom w:val="single" w:sz="18" w:space="0" w:color="auto"/>
              <w:right w:val="single" w:sz="4" w:space="0" w:color="auto"/>
            </w:tcBorders>
          </w:tcPr>
          <w:p w14:paraId="7BBC6314" w14:textId="77777777" w:rsidR="00943505" w:rsidRPr="00943505" w:rsidRDefault="00943505" w:rsidP="00736455">
            <w:pPr>
              <w:spacing w:after="120"/>
              <w:jc w:val="both"/>
              <w:rPr>
                <w:rFonts w:asciiTheme="minorHAnsi" w:hAnsiTheme="minorHAnsi" w:cs="Calibri"/>
              </w:rPr>
            </w:pPr>
          </w:p>
        </w:tc>
        <w:tc>
          <w:tcPr>
            <w:tcW w:w="5245" w:type="dxa"/>
            <w:tcBorders>
              <w:top w:val="single" w:sz="4" w:space="0" w:color="auto"/>
              <w:left w:val="single" w:sz="4" w:space="0" w:color="auto"/>
              <w:bottom w:val="single" w:sz="18" w:space="0" w:color="auto"/>
              <w:right w:val="single" w:sz="4" w:space="0" w:color="auto"/>
            </w:tcBorders>
            <w:vAlign w:val="center"/>
          </w:tcPr>
          <w:p w14:paraId="7BBC6315" w14:textId="77777777" w:rsidR="00943505" w:rsidRPr="00943505" w:rsidRDefault="00943505" w:rsidP="00736455">
            <w:pPr>
              <w:spacing w:after="120"/>
              <w:jc w:val="both"/>
              <w:rPr>
                <w:rFonts w:asciiTheme="minorHAnsi" w:hAnsiTheme="minorHAnsi" w:cs="Calibri"/>
              </w:rPr>
            </w:pPr>
          </w:p>
        </w:tc>
        <w:tc>
          <w:tcPr>
            <w:tcW w:w="886" w:type="dxa"/>
            <w:tcBorders>
              <w:top w:val="single" w:sz="4" w:space="0" w:color="auto"/>
              <w:left w:val="single" w:sz="4" w:space="0" w:color="auto"/>
              <w:bottom w:val="single" w:sz="18" w:space="0" w:color="auto"/>
              <w:right w:val="single" w:sz="18" w:space="0" w:color="auto"/>
            </w:tcBorders>
            <w:vAlign w:val="center"/>
          </w:tcPr>
          <w:p w14:paraId="7BBC6316" w14:textId="77777777" w:rsidR="00943505" w:rsidRPr="00943505" w:rsidRDefault="00943505" w:rsidP="00736455">
            <w:pPr>
              <w:spacing w:after="120"/>
              <w:jc w:val="both"/>
              <w:rPr>
                <w:rFonts w:asciiTheme="minorHAnsi" w:hAnsiTheme="minorHAnsi" w:cs="Calibri"/>
              </w:rPr>
            </w:pPr>
          </w:p>
        </w:tc>
      </w:tr>
    </w:tbl>
    <w:p w14:paraId="7BBC6318" w14:textId="77777777" w:rsidR="00943505" w:rsidRPr="00943505" w:rsidRDefault="00943505" w:rsidP="00736455">
      <w:pPr>
        <w:spacing w:after="120"/>
        <w:jc w:val="both"/>
        <w:rPr>
          <w:rFonts w:asciiTheme="minorHAnsi" w:hAnsiTheme="minorHAnsi"/>
        </w:rPr>
      </w:pPr>
    </w:p>
    <w:p w14:paraId="7BBC6319" w14:textId="77777777" w:rsidR="00943505" w:rsidRPr="00943505" w:rsidRDefault="00943505" w:rsidP="00736455">
      <w:pPr>
        <w:spacing w:after="120"/>
        <w:jc w:val="both"/>
        <w:rPr>
          <w:rFonts w:asciiTheme="minorHAnsi" w:hAnsiTheme="minorHAnsi" w:cs="Calibri"/>
          <w:b/>
          <w:bCs/>
          <w:u w:val="single"/>
        </w:rPr>
      </w:pPr>
      <w:r w:rsidRPr="00943505">
        <w:rPr>
          <w:rFonts w:asciiTheme="minorHAnsi" w:hAnsiTheme="minorHAnsi" w:cs="Calibri"/>
          <w:b/>
          <w:bCs/>
          <w:u w:val="single"/>
        </w:rPr>
        <w:t>POLICY STATEMENT:</w:t>
      </w:r>
    </w:p>
    <w:p w14:paraId="7BBC631A" w14:textId="77777777" w:rsidR="00943505" w:rsidRPr="00943505" w:rsidRDefault="00943505" w:rsidP="00736455">
      <w:pPr>
        <w:spacing w:after="120"/>
        <w:jc w:val="both"/>
        <w:rPr>
          <w:rFonts w:asciiTheme="minorHAnsi" w:hAnsiTheme="minorHAnsi"/>
        </w:rPr>
      </w:pPr>
      <w:r w:rsidRPr="00943505">
        <w:rPr>
          <w:rFonts w:asciiTheme="minorHAnsi" w:hAnsiTheme="minorHAnsi"/>
        </w:rPr>
        <w:t xml:space="preserve">Gorse Hill Studios is a charity youth organisation who set out to engage with young people and offer a place where they can express themselves freely within creative arts, these include: </w:t>
      </w:r>
    </w:p>
    <w:p w14:paraId="7BBC631B" w14:textId="77777777" w:rsidR="00943505" w:rsidRPr="00943505" w:rsidRDefault="00943505" w:rsidP="00736455">
      <w:pPr>
        <w:pStyle w:val="ListParagraph"/>
        <w:numPr>
          <w:ilvl w:val="0"/>
          <w:numId w:val="39"/>
        </w:numPr>
        <w:spacing w:after="120"/>
        <w:contextualSpacing/>
        <w:jc w:val="both"/>
        <w:rPr>
          <w:rFonts w:asciiTheme="minorHAnsi" w:hAnsiTheme="minorHAnsi"/>
        </w:rPr>
      </w:pPr>
      <w:r w:rsidRPr="00943505">
        <w:rPr>
          <w:rFonts w:asciiTheme="minorHAnsi" w:hAnsiTheme="minorHAnsi"/>
        </w:rPr>
        <w:t xml:space="preserve">Music </w:t>
      </w:r>
    </w:p>
    <w:p w14:paraId="7BBC631C" w14:textId="77777777" w:rsidR="00943505" w:rsidRPr="00943505" w:rsidRDefault="00943505" w:rsidP="00736455">
      <w:pPr>
        <w:pStyle w:val="ListParagraph"/>
        <w:numPr>
          <w:ilvl w:val="0"/>
          <w:numId w:val="39"/>
        </w:numPr>
        <w:spacing w:after="120"/>
        <w:contextualSpacing/>
        <w:jc w:val="both"/>
        <w:rPr>
          <w:rFonts w:asciiTheme="minorHAnsi" w:hAnsiTheme="minorHAnsi"/>
        </w:rPr>
      </w:pPr>
      <w:r w:rsidRPr="00943505">
        <w:rPr>
          <w:rFonts w:asciiTheme="minorHAnsi" w:hAnsiTheme="minorHAnsi"/>
        </w:rPr>
        <w:t xml:space="preserve">Drama </w:t>
      </w:r>
    </w:p>
    <w:p w14:paraId="7BBC631D" w14:textId="77777777" w:rsidR="00943505" w:rsidRPr="00943505" w:rsidRDefault="00943505" w:rsidP="00736455">
      <w:pPr>
        <w:pStyle w:val="ListParagraph"/>
        <w:numPr>
          <w:ilvl w:val="0"/>
          <w:numId w:val="39"/>
        </w:numPr>
        <w:spacing w:after="120"/>
        <w:contextualSpacing/>
        <w:jc w:val="both"/>
        <w:rPr>
          <w:rFonts w:asciiTheme="minorHAnsi" w:hAnsiTheme="minorHAnsi"/>
        </w:rPr>
      </w:pPr>
      <w:r w:rsidRPr="00943505">
        <w:rPr>
          <w:rFonts w:asciiTheme="minorHAnsi" w:hAnsiTheme="minorHAnsi"/>
        </w:rPr>
        <w:t xml:space="preserve">Dance </w:t>
      </w:r>
    </w:p>
    <w:p w14:paraId="7BBC631E" w14:textId="77777777" w:rsidR="00943505" w:rsidRPr="00943505" w:rsidRDefault="00943505" w:rsidP="00736455">
      <w:pPr>
        <w:pStyle w:val="ListParagraph"/>
        <w:numPr>
          <w:ilvl w:val="0"/>
          <w:numId w:val="39"/>
        </w:numPr>
        <w:spacing w:after="120"/>
        <w:contextualSpacing/>
        <w:jc w:val="both"/>
        <w:rPr>
          <w:rFonts w:asciiTheme="minorHAnsi" w:hAnsiTheme="minorHAnsi"/>
        </w:rPr>
      </w:pPr>
      <w:r w:rsidRPr="00943505">
        <w:rPr>
          <w:rFonts w:asciiTheme="minorHAnsi" w:hAnsiTheme="minorHAnsi"/>
        </w:rPr>
        <w:t xml:space="preserve">Art </w:t>
      </w:r>
    </w:p>
    <w:p w14:paraId="7BBC631F" w14:textId="77777777" w:rsidR="00943505" w:rsidRPr="00943505" w:rsidRDefault="00943505" w:rsidP="00736455">
      <w:pPr>
        <w:pStyle w:val="ListParagraph"/>
        <w:numPr>
          <w:ilvl w:val="0"/>
          <w:numId w:val="39"/>
        </w:numPr>
        <w:spacing w:after="120"/>
        <w:contextualSpacing/>
        <w:jc w:val="both"/>
        <w:rPr>
          <w:rFonts w:asciiTheme="minorHAnsi" w:hAnsiTheme="minorHAnsi"/>
        </w:rPr>
      </w:pPr>
      <w:r w:rsidRPr="00943505">
        <w:rPr>
          <w:rFonts w:asciiTheme="minorHAnsi" w:hAnsiTheme="minorHAnsi"/>
        </w:rPr>
        <w:t xml:space="preserve">Digital Arts </w:t>
      </w:r>
    </w:p>
    <w:p w14:paraId="7BBC6320"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rPr>
        <w:t>GHS are aware that every young person has unique needs, but also accepts that everyone has the right to express themselves in a friendly, safe environment. E</w:t>
      </w:r>
      <w:r w:rsidRPr="00943505">
        <w:rPr>
          <w:rFonts w:asciiTheme="minorHAnsi" w:hAnsiTheme="minorHAnsi" w:cs="Calibri"/>
        </w:rPr>
        <w:t>veryone involved in the organisation is required to read this policy carefully and read any future updates;</w:t>
      </w:r>
    </w:p>
    <w:bookmarkEnd w:id="0"/>
    <w:bookmarkEnd w:id="1"/>
    <w:bookmarkEnd w:id="2"/>
    <w:bookmarkEnd w:id="3"/>
    <w:bookmarkEnd w:id="4"/>
    <w:p w14:paraId="7BBC6321" w14:textId="77777777" w:rsidR="009A6EF9" w:rsidRDefault="009A6EF9" w:rsidP="009A6EF9">
      <w:pPr>
        <w:spacing w:after="120"/>
        <w:jc w:val="both"/>
        <w:rPr>
          <w:rFonts w:asciiTheme="minorHAnsi" w:hAnsiTheme="minorHAnsi" w:cs="Calibri"/>
        </w:rPr>
      </w:pPr>
    </w:p>
    <w:p w14:paraId="7BBC6322" w14:textId="77777777" w:rsidR="006F1086" w:rsidRPr="00943505" w:rsidRDefault="006F1086" w:rsidP="009A6EF9">
      <w:pPr>
        <w:spacing w:after="120"/>
        <w:jc w:val="both"/>
        <w:rPr>
          <w:rFonts w:asciiTheme="minorHAnsi" w:hAnsiTheme="minorHAnsi" w:cs="Calibri"/>
        </w:rPr>
      </w:pPr>
      <w:r w:rsidRPr="00943505">
        <w:rPr>
          <w:rFonts w:asciiTheme="minorHAnsi" w:hAnsiTheme="minorHAnsi" w:cs="Calibri"/>
          <w:b/>
          <w:bCs/>
        </w:rPr>
        <w:t>Statement of policy</w:t>
      </w:r>
    </w:p>
    <w:p w14:paraId="7BBC6323" w14:textId="77777777" w:rsidR="00FC74E0" w:rsidRPr="00943505" w:rsidRDefault="00FC74E0"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b/>
          <w:bCs/>
        </w:rPr>
      </w:pPr>
      <w:r w:rsidRPr="00943505">
        <w:rPr>
          <w:rFonts w:asciiTheme="minorHAnsi" w:hAnsiTheme="minorHAnsi" w:cs="Calibri"/>
          <w:b/>
          <w:bCs/>
        </w:rPr>
        <w:t>The organisations seek to work within all relevant legislation and good practice including</w:t>
      </w:r>
      <w:r w:rsidR="00ED213E" w:rsidRPr="00943505">
        <w:rPr>
          <w:rFonts w:asciiTheme="minorHAnsi" w:hAnsiTheme="minorHAnsi" w:cs="Calibri"/>
          <w:b/>
          <w:bCs/>
        </w:rPr>
        <w:t>:</w:t>
      </w:r>
    </w:p>
    <w:p w14:paraId="7BBC6324" w14:textId="77777777" w:rsidR="00ED213E" w:rsidRDefault="0053764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Style w:val="Hyperlink"/>
          <w:rFonts w:asciiTheme="minorHAnsi" w:hAnsiTheme="minorHAnsi"/>
          <w:lang w:val="en"/>
        </w:rPr>
      </w:pPr>
      <w:hyperlink r:id="rId11" w:tooltip="Equality Act 2010" w:history="1">
        <w:r w:rsidR="00ED213E" w:rsidRPr="00943505">
          <w:rPr>
            <w:rStyle w:val="Hyperlink"/>
            <w:rFonts w:asciiTheme="minorHAnsi" w:hAnsiTheme="minorHAnsi"/>
            <w:lang w:val="en"/>
          </w:rPr>
          <w:t>Equality Act 2010</w:t>
        </w:r>
      </w:hyperlink>
    </w:p>
    <w:p w14:paraId="7BBC6325" w14:textId="77777777" w:rsidR="00ED213E" w:rsidRPr="00943505" w:rsidRDefault="0053764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lang w:val="en"/>
        </w:rPr>
      </w:pPr>
      <w:hyperlink r:id="rId12" w:tooltip="Protection from Harassment Act 1997" w:history="1">
        <w:r w:rsidR="00ED213E" w:rsidRPr="00943505">
          <w:rPr>
            <w:rStyle w:val="Hyperlink"/>
            <w:rFonts w:asciiTheme="minorHAnsi" w:hAnsiTheme="minorHAnsi"/>
            <w:lang w:val="en"/>
          </w:rPr>
          <w:t>Protection from Harassment Act 1997</w:t>
        </w:r>
      </w:hyperlink>
    </w:p>
    <w:p w14:paraId="7BBC6326" w14:textId="77777777" w:rsidR="00ED213E" w:rsidRPr="00943505" w:rsidRDefault="0053764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i/>
          <w:iCs/>
          <w:lang w:val="en"/>
        </w:rPr>
      </w:pPr>
      <w:hyperlink r:id="rId13" w:tooltip="Sex Discrimination Act 1975" w:history="1">
        <w:r w:rsidR="00ED213E" w:rsidRPr="00943505">
          <w:rPr>
            <w:rStyle w:val="Hyperlink"/>
            <w:rFonts w:asciiTheme="minorHAnsi" w:hAnsiTheme="minorHAnsi"/>
            <w:i/>
            <w:iCs/>
            <w:lang w:val="en"/>
          </w:rPr>
          <w:t>Sex Discrimination Act 1975</w:t>
        </w:r>
      </w:hyperlink>
      <w:r w:rsidR="00ED213E" w:rsidRPr="00943505">
        <w:rPr>
          <w:rFonts w:asciiTheme="minorHAnsi" w:hAnsiTheme="minorHAnsi"/>
          <w:i/>
          <w:iCs/>
          <w:lang w:val="en"/>
        </w:rPr>
        <w:t xml:space="preserve"> and </w:t>
      </w:r>
      <w:hyperlink r:id="rId14" w:tooltip="Equal Pay Act 1970" w:history="1">
        <w:r w:rsidR="00ED213E" w:rsidRPr="00943505">
          <w:rPr>
            <w:rStyle w:val="Hyperlink"/>
            <w:rFonts w:asciiTheme="minorHAnsi" w:hAnsiTheme="minorHAnsi"/>
            <w:i/>
            <w:iCs/>
            <w:lang w:val="en"/>
          </w:rPr>
          <w:t>Equal Pay Act 1970</w:t>
        </w:r>
      </w:hyperlink>
    </w:p>
    <w:p w14:paraId="7BBC6327" w14:textId="77777777" w:rsidR="00ED213E" w:rsidRPr="00943505" w:rsidRDefault="0053764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i/>
          <w:iCs/>
          <w:lang w:val="en"/>
        </w:rPr>
      </w:pPr>
      <w:hyperlink r:id="rId15" w:tooltip="Disability Discrimination Act 1995" w:history="1">
        <w:r w:rsidR="00ED213E" w:rsidRPr="00943505">
          <w:rPr>
            <w:rStyle w:val="Hyperlink"/>
            <w:rFonts w:asciiTheme="minorHAnsi" w:hAnsiTheme="minorHAnsi"/>
            <w:i/>
            <w:iCs/>
            <w:lang w:val="en"/>
          </w:rPr>
          <w:t>Disability Discrimination Act 1995</w:t>
        </w:r>
      </w:hyperlink>
    </w:p>
    <w:p w14:paraId="7BBC6328" w14:textId="77777777" w:rsidR="00ED213E" w:rsidRPr="00943505" w:rsidRDefault="0053764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hyperlink r:id="rId16" w:tooltip="Employment Equality (Sexual Orientation) Regulations 2003" w:history="1">
        <w:r w:rsidR="00ED213E" w:rsidRPr="00943505">
          <w:rPr>
            <w:rStyle w:val="Hyperlink"/>
            <w:rFonts w:asciiTheme="minorHAnsi" w:hAnsiTheme="minorHAnsi"/>
            <w:i/>
            <w:iCs/>
            <w:lang w:val="en"/>
          </w:rPr>
          <w:t>Employment Equality (Sexual Orientation) Regulations 2003</w:t>
        </w:r>
      </w:hyperlink>
    </w:p>
    <w:p w14:paraId="7BBC6329" w14:textId="77777777" w:rsid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 xml:space="preserve">We recognise that discrimination is unacceptable and although equality of </w:t>
      </w:r>
      <w:r w:rsidR="00943505">
        <w:rPr>
          <w:rFonts w:asciiTheme="minorHAnsi" w:hAnsiTheme="minorHAnsi" w:cs="Calibri"/>
        </w:rPr>
        <w:t>o</w:t>
      </w:r>
      <w:r w:rsidRPr="00943505">
        <w:rPr>
          <w:rFonts w:asciiTheme="minorHAnsi" w:hAnsiTheme="minorHAnsi" w:cs="Calibri"/>
        </w:rPr>
        <w:t xml:space="preserve">pportunity has been a long standing feature of our employment practices and procedure, we have made the decision to adopt a formal equality and diversity policy across </w:t>
      </w:r>
      <w:r w:rsidR="00FC74E0" w:rsidRPr="00943505">
        <w:rPr>
          <w:rFonts w:asciiTheme="minorHAnsi" w:hAnsiTheme="minorHAnsi" w:cs="Calibri"/>
        </w:rPr>
        <w:t>the organisation</w:t>
      </w:r>
      <w:r w:rsidRPr="00943505">
        <w:rPr>
          <w:rFonts w:asciiTheme="minorHAnsi" w:hAnsiTheme="minorHAnsi" w:cs="Calibri"/>
        </w:rPr>
        <w:t xml:space="preserve"> to develop our p</w:t>
      </w:r>
      <w:r w:rsidR="00943505">
        <w:rPr>
          <w:rFonts w:asciiTheme="minorHAnsi" w:hAnsiTheme="minorHAnsi" w:cs="Calibri"/>
        </w:rPr>
        <w:t>rocedures and working practices.</w:t>
      </w:r>
    </w:p>
    <w:p w14:paraId="7BBC632A"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 xml:space="preserve">The aim of the policy is to ensure no job applicant, employee or worker, volunteer, Board member or service user is discriminated against either directly or indirectly on the grounds of </w:t>
      </w:r>
      <w:r w:rsidRPr="00943505">
        <w:rPr>
          <w:rFonts w:asciiTheme="minorHAnsi" w:hAnsiTheme="minorHAnsi" w:cs="Calibri"/>
        </w:rPr>
        <w:lastRenderedPageBreak/>
        <w:t>race, colour, ethnic or national origin, religious belief, sex, marital status, sexual orientation, gender reassignment, age or disability. Furthermore we will work towards the widest range of service to meet local needs and involve all sections of the community</w:t>
      </w:r>
      <w:r w:rsidR="00943505">
        <w:rPr>
          <w:rFonts w:asciiTheme="minorHAnsi" w:hAnsiTheme="minorHAnsi" w:cs="Calibri"/>
        </w:rPr>
        <w:t xml:space="preserve"> and service users</w:t>
      </w:r>
      <w:r w:rsidRPr="00943505">
        <w:rPr>
          <w:rFonts w:asciiTheme="minorHAnsi" w:hAnsiTheme="minorHAnsi" w:cs="Calibri"/>
        </w:rPr>
        <w:t>.</w:t>
      </w:r>
    </w:p>
    <w:p w14:paraId="7BBC632B"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We are committed to ensuring our recruitment methods are open and accessible to disabled applicants. We make every effort to supply all necessary building adaptations and employment equipment to enable disabled employees to carry out the full duties of their jobs.</w:t>
      </w:r>
    </w:p>
    <w:p w14:paraId="7BBC632C"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If a certain aspect of a job would prove unachievable by a disabled applicant or employee due to the nature of their impairment, we will give full consideration to the possibility of redesigning the job to remove that particular barrier.</w:t>
      </w:r>
    </w:p>
    <w:p w14:paraId="7BBC632D"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We will ensure that the policy is circulated to any agencies responsible for our recruitment and a copy of the policy will be made available for all employees, volunteers and that the statement of policy is displayed for service users and made known to all applicants for employment.</w:t>
      </w:r>
    </w:p>
    <w:p w14:paraId="7BBC632E"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 xml:space="preserve">The policy will be communicated to all </w:t>
      </w:r>
      <w:r w:rsidR="00943505">
        <w:rPr>
          <w:rFonts w:asciiTheme="minorHAnsi" w:hAnsiTheme="minorHAnsi" w:cs="Calibri"/>
        </w:rPr>
        <w:t xml:space="preserve">freelancers and </w:t>
      </w:r>
      <w:r w:rsidRPr="00943505">
        <w:rPr>
          <w:rFonts w:asciiTheme="minorHAnsi" w:hAnsiTheme="minorHAnsi" w:cs="Calibri"/>
        </w:rPr>
        <w:t>private contractors reminding them of their responsibilities towards the equality of opportunity.</w:t>
      </w:r>
    </w:p>
    <w:p w14:paraId="7BBC632F"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The policy will be implemented in accordance with the appropriate statutory requirements and full account will be taken of all available guidance and in particular any relevant Codes of Practice.</w:t>
      </w:r>
    </w:p>
    <w:p w14:paraId="7BBC6330" w14:textId="77777777" w:rsidR="00A0463D"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We will maintain a neutral working environment in which no employee or volunteer feels under threat or intimidated.</w:t>
      </w:r>
    </w:p>
    <w:p w14:paraId="7BBC6331" w14:textId="77777777" w:rsidR="009A6EF9" w:rsidRDefault="009A6EF9"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b/>
          <w:bCs/>
        </w:rPr>
      </w:pPr>
    </w:p>
    <w:p w14:paraId="7BBC6332" w14:textId="77777777" w:rsidR="006F1086" w:rsidRPr="00A0463D"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b/>
          <w:bCs/>
        </w:rPr>
        <w:t>Code of conduct</w:t>
      </w:r>
    </w:p>
    <w:p w14:paraId="7BBC6333"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This is intended to outline the expected personal and professional standards that all employees and volunteers must strive to achieve. By maintaining the standards, employees will work in an environment that is productive, positive, enjoyable and safe from harassment and discrimination.</w:t>
      </w:r>
    </w:p>
    <w:p w14:paraId="7BBC6334" w14:textId="77777777" w:rsidR="006F1086" w:rsidRPr="00943505" w:rsidRDefault="006F1086"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rPr>
      </w:pPr>
      <w:r w:rsidRPr="00943505">
        <w:rPr>
          <w:rFonts w:asciiTheme="minorHAnsi" w:hAnsiTheme="minorHAnsi" w:cs="Calibri"/>
        </w:rPr>
        <w:t xml:space="preserve">This framework includes the values that are fundamental to </w:t>
      </w:r>
      <w:r w:rsidR="00FC74E0" w:rsidRPr="00943505">
        <w:rPr>
          <w:rFonts w:asciiTheme="minorHAnsi" w:hAnsiTheme="minorHAnsi" w:cs="Calibri"/>
        </w:rPr>
        <w:t>the organisations</w:t>
      </w:r>
      <w:r w:rsidRPr="00943505">
        <w:rPr>
          <w:rFonts w:asciiTheme="minorHAnsi" w:hAnsiTheme="minorHAnsi" w:cs="Calibri"/>
        </w:rPr>
        <w:t xml:space="preserve"> corporate ethics and include: integrity, honesty, conscientiousness, compassion, courtesy, fairness, equality, and respect. It is the responsibility of all </w:t>
      </w:r>
      <w:r w:rsidR="00FC74E0" w:rsidRPr="00943505">
        <w:rPr>
          <w:rFonts w:asciiTheme="minorHAnsi" w:hAnsiTheme="minorHAnsi" w:cs="Calibri"/>
        </w:rPr>
        <w:t>the organisations</w:t>
      </w:r>
      <w:r w:rsidRPr="00943505">
        <w:rPr>
          <w:rFonts w:asciiTheme="minorHAnsi" w:hAnsiTheme="minorHAnsi" w:cs="Calibri"/>
        </w:rPr>
        <w:t xml:space="preserve"> stakeholders to ensure they are adhered to. </w:t>
      </w:r>
    </w:p>
    <w:p w14:paraId="7BBC6335" w14:textId="77777777" w:rsidR="009A6EF9" w:rsidRDefault="009A6EF9" w:rsidP="00736455">
      <w:pPr>
        <w:pStyle w:val="BodyText"/>
        <w:framePr w:hSpace="0" w:wrap="auto" w:vAnchor="margin" w:hAnchor="text" w:xAlign="left" w:yAlign="inline"/>
        <w:spacing w:before="120" w:after="120"/>
        <w:jc w:val="both"/>
        <w:rPr>
          <w:rFonts w:asciiTheme="minorHAnsi" w:hAnsiTheme="minorHAnsi" w:cs="Calibri"/>
          <w:b/>
          <w:bCs/>
        </w:rPr>
      </w:pPr>
    </w:p>
    <w:p w14:paraId="7BBC6336" w14:textId="77777777" w:rsidR="006F1086" w:rsidRPr="00943505" w:rsidRDefault="006F1086" w:rsidP="00736455">
      <w:pPr>
        <w:pStyle w:val="BodyText"/>
        <w:framePr w:hSpace="0" w:wrap="auto" w:vAnchor="margin" w:hAnchor="text" w:xAlign="left" w:yAlign="inline"/>
        <w:spacing w:before="120" w:after="120"/>
        <w:jc w:val="both"/>
        <w:rPr>
          <w:rFonts w:asciiTheme="minorHAnsi" w:hAnsiTheme="minorHAnsi" w:cs="Calibri"/>
          <w:b/>
          <w:bCs/>
        </w:rPr>
      </w:pPr>
      <w:r w:rsidRPr="00943505">
        <w:rPr>
          <w:rFonts w:asciiTheme="minorHAnsi" w:hAnsiTheme="minorHAnsi" w:cs="Calibri"/>
          <w:b/>
          <w:bCs/>
        </w:rPr>
        <w:t>Employees’ responsibilities</w:t>
      </w:r>
    </w:p>
    <w:p w14:paraId="7BBC6337" w14:textId="77777777" w:rsidR="006F1086" w:rsidRPr="00943505" w:rsidRDefault="006F1086" w:rsidP="00736455">
      <w:pPr>
        <w:pStyle w:val="BodyText"/>
        <w:framePr w:hSpace="0" w:wrap="auto" w:vAnchor="margin" w:hAnchor="text" w:xAlign="left" w:yAlign="inline"/>
        <w:widowControl w:val="0"/>
        <w:numPr>
          <w:ilvl w:val="0"/>
          <w:numId w:val="32"/>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Employees and volunteers are responsible for their own performance, behaviour, and attendance in the workplace.</w:t>
      </w:r>
    </w:p>
    <w:p w14:paraId="7BBC6338" w14:textId="77777777" w:rsidR="006F1086" w:rsidRPr="00943505" w:rsidRDefault="006F1086" w:rsidP="00736455">
      <w:pPr>
        <w:pStyle w:val="BodyText"/>
        <w:framePr w:hSpace="0" w:wrap="auto" w:vAnchor="margin" w:hAnchor="text" w:xAlign="left" w:yAlign="inline"/>
        <w:widowControl w:val="0"/>
        <w:numPr>
          <w:ilvl w:val="0"/>
          <w:numId w:val="32"/>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 xml:space="preserve">Ensuring that their own communication and behaviour is in accordance with the </w:t>
      </w:r>
      <w:r w:rsidR="00DD5D0D" w:rsidRPr="00943505">
        <w:rPr>
          <w:rFonts w:asciiTheme="minorHAnsi" w:hAnsiTheme="minorHAnsi" w:cs="Calibri"/>
        </w:rPr>
        <w:t>principles, practice and ethos of this policy</w:t>
      </w:r>
      <w:r w:rsidRPr="00943505">
        <w:rPr>
          <w:rFonts w:asciiTheme="minorHAnsi" w:hAnsiTheme="minorHAnsi" w:cs="Calibri"/>
        </w:rPr>
        <w:t xml:space="preserve">, ensuring that other individuals whether they are; clients, other employees, volunteers, contractors, or other third parties are not offended, or insulted by such comments or behaviour. </w:t>
      </w:r>
    </w:p>
    <w:p w14:paraId="7BBC6339" w14:textId="77777777" w:rsidR="00A0463D" w:rsidRDefault="00A0463D" w:rsidP="00736455">
      <w:pPr>
        <w:pStyle w:val="BodyText"/>
        <w:framePr w:hSpace="0" w:wrap="auto" w:vAnchor="margin" w:hAnchor="text" w:xAlign="left" w:yAlign="inline"/>
        <w:spacing w:before="120" w:after="120"/>
        <w:jc w:val="both"/>
        <w:rPr>
          <w:rFonts w:asciiTheme="minorHAnsi" w:hAnsiTheme="minorHAnsi" w:cs="Calibri"/>
          <w:b/>
          <w:bCs/>
        </w:rPr>
      </w:pPr>
    </w:p>
    <w:p w14:paraId="7BBC633A" w14:textId="77777777" w:rsidR="006F1086" w:rsidRPr="00943505" w:rsidRDefault="006F1086" w:rsidP="00736455">
      <w:pPr>
        <w:pStyle w:val="BodyText"/>
        <w:framePr w:hSpace="0" w:wrap="auto" w:vAnchor="margin" w:hAnchor="text" w:xAlign="left" w:yAlign="inline"/>
        <w:spacing w:before="120" w:after="120"/>
        <w:jc w:val="both"/>
        <w:rPr>
          <w:rFonts w:asciiTheme="minorHAnsi" w:hAnsiTheme="minorHAnsi" w:cs="Calibri"/>
          <w:b/>
          <w:bCs/>
        </w:rPr>
      </w:pPr>
      <w:r w:rsidRPr="00943505">
        <w:rPr>
          <w:rFonts w:asciiTheme="minorHAnsi" w:hAnsiTheme="minorHAnsi" w:cs="Calibri"/>
          <w:b/>
          <w:bCs/>
        </w:rPr>
        <w:t>Managers’ responsibilities</w:t>
      </w:r>
    </w:p>
    <w:p w14:paraId="7BBC633B" w14:textId="77777777" w:rsidR="006F1086" w:rsidRPr="00943505" w:rsidRDefault="006F1086" w:rsidP="00736455">
      <w:pPr>
        <w:pStyle w:val="BodyText"/>
        <w:framePr w:hSpace="0" w:wrap="auto" w:vAnchor="margin" w:hAnchor="text" w:xAlign="left" w:yAlign="inline"/>
        <w:widowControl w:val="0"/>
        <w:numPr>
          <w:ilvl w:val="0"/>
          <w:numId w:val="33"/>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It is the responsibility of managers to ensure that all staff adhere to the code of conduct.</w:t>
      </w:r>
    </w:p>
    <w:p w14:paraId="7BBC633C" w14:textId="77777777" w:rsidR="006F1086" w:rsidRPr="00943505" w:rsidRDefault="006F1086" w:rsidP="00736455">
      <w:pPr>
        <w:pStyle w:val="BodyText"/>
        <w:framePr w:hSpace="0" w:wrap="auto" w:vAnchor="margin" w:hAnchor="text" w:xAlign="left" w:yAlign="inline"/>
        <w:widowControl w:val="0"/>
        <w:numPr>
          <w:ilvl w:val="0"/>
          <w:numId w:val="33"/>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Exemplify the company’s code of conduct themselves.</w:t>
      </w:r>
    </w:p>
    <w:p w14:paraId="7BBC633D" w14:textId="77777777" w:rsidR="006F1086" w:rsidRPr="00943505" w:rsidRDefault="006F1086" w:rsidP="00736455">
      <w:pPr>
        <w:pStyle w:val="BodyText"/>
        <w:framePr w:hSpace="0" w:wrap="auto" w:vAnchor="margin" w:hAnchor="text" w:xAlign="left" w:yAlign="inline"/>
        <w:widowControl w:val="0"/>
        <w:numPr>
          <w:ilvl w:val="0"/>
          <w:numId w:val="33"/>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Report any departure from the code by other individuals.</w:t>
      </w:r>
    </w:p>
    <w:p w14:paraId="7BBC633E" w14:textId="77777777" w:rsidR="006F1086" w:rsidRPr="00943505" w:rsidRDefault="006F1086" w:rsidP="00736455">
      <w:pPr>
        <w:pStyle w:val="BodyText"/>
        <w:framePr w:hSpace="0" w:wrap="auto" w:vAnchor="margin" w:hAnchor="text" w:xAlign="left" w:yAlign="inline"/>
        <w:widowControl w:val="0"/>
        <w:numPr>
          <w:ilvl w:val="0"/>
          <w:numId w:val="33"/>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Provide education and / or training as and when required.</w:t>
      </w:r>
    </w:p>
    <w:p w14:paraId="7BBC633F" w14:textId="77777777" w:rsidR="00A0463D" w:rsidRDefault="006F1086" w:rsidP="00736455">
      <w:pPr>
        <w:pStyle w:val="BodyText"/>
        <w:framePr w:hSpace="0" w:wrap="auto" w:vAnchor="margin" w:hAnchor="text" w:xAlign="left" w:yAlign="inline"/>
        <w:widowControl w:val="0"/>
        <w:numPr>
          <w:ilvl w:val="0"/>
          <w:numId w:val="33"/>
        </w:numPr>
        <w:autoSpaceDE w:val="0"/>
        <w:autoSpaceDN w:val="0"/>
        <w:adjustRightInd w:val="0"/>
        <w:spacing w:before="120" w:after="120"/>
        <w:ind w:left="1429" w:hanging="578"/>
        <w:jc w:val="both"/>
        <w:rPr>
          <w:rFonts w:asciiTheme="minorHAnsi" w:hAnsiTheme="minorHAnsi" w:cs="Calibri"/>
        </w:rPr>
      </w:pPr>
      <w:r w:rsidRPr="00943505">
        <w:rPr>
          <w:rFonts w:asciiTheme="minorHAnsi" w:hAnsiTheme="minorHAnsi" w:cs="Calibri"/>
        </w:rPr>
        <w:t>Where there is a breach or suspected breach of this code, an investigation against the individual or individuals involved will be conducted in a prompt, consistent, fair, and timely manner.</w:t>
      </w:r>
      <w:r w:rsidR="00DD5D0D" w:rsidRPr="00943505">
        <w:rPr>
          <w:rFonts w:asciiTheme="minorHAnsi" w:hAnsiTheme="minorHAnsi" w:cs="Calibri"/>
        </w:rPr>
        <w:t xml:space="preserve"> </w:t>
      </w:r>
      <w:r w:rsidRPr="00943505">
        <w:rPr>
          <w:rFonts w:asciiTheme="minorHAnsi" w:hAnsiTheme="minorHAnsi" w:cs="Calibri"/>
        </w:rPr>
        <w:t>The principles of natural justice will always be maintained whilst dealing with an investigation.</w:t>
      </w:r>
    </w:p>
    <w:p w14:paraId="7BBC6340" w14:textId="77777777" w:rsidR="00A0463D" w:rsidRDefault="00A0463D" w:rsidP="00736455">
      <w:pPr>
        <w:pStyle w:val="BodyText"/>
        <w:framePr w:hSpace="0" w:wrap="auto" w:vAnchor="margin" w:hAnchor="text" w:xAlign="left" w:yAlign="inline"/>
        <w:widowControl w:val="0"/>
        <w:autoSpaceDE w:val="0"/>
        <w:autoSpaceDN w:val="0"/>
        <w:adjustRightInd w:val="0"/>
        <w:spacing w:before="120" w:after="120"/>
        <w:jc w:val="both"/>
        <w:rPr>
          <w:rFonts w:asciiTheme="minorHAnsi" w:hAnsiTheme="minorHAnsi" w:cs="Calibri"/>
        </w:rPr>
      </w:pPr>
    </w:p>
    <w:p w14:paraId="7BBC6341" w14:textId="77777777" w:rsidR="006F1086" w:rsidRPr="00A0463D" w:rsidRDefault="006F1086" w:rsidP="00736455">
      <w:pPr>
        <w:pStyle w:val="BodyText"/>
        <w:framePr w:hSpace="0" w:wrap="auto" w:vAnchor="margin" w:hAnchor="text" w:xAlign="left" w:yAlign="inline"/>
        <w:widowControl w:val="0"/>
        <w:autoSpaceDE w:val="0"/>
        <w:autoSpaceDN w:val="0"/>
        <w:adjustRightInd w:val="0"/>
        <w:spacing w:before="120" w:after="120"/>
        <w:jc w:val="both"/>
        <w:rPr>
          <w:rFonts w:asciiTheme="minorHAnsi" w:hAnsiTheme="minorHAnsi" w:cs="Calibri"/>
          <w:b/>
        </w:rPr>
      </w:pPr>
      <w:r w:rsidRPr="00A0463D">
        <w:rPr>
          <w:rFonts w:asciiTheme="minorHAnsi" w:hAnsiTheme="minorHAnsi" w:cs="Calibri"/>
          <w:b/>
        </w:rPr>
        <w:t>Service Provision</w:t>
      </w:r>
    </w:p>
    <w:p w14:paraId="7BBC6342" w14:textId="77777777" w:rsidR="006F1086" w:rsidRPr="00943505" w:rsidRDefault="006F1086" w:rsidP="00736455">
      <w:pPr>
        <w:spacing w:after="120"/>
        <w:jc w:val="both"/>
        <w:rPr>
          <w:rFonts w:asciiTheme="minorHAnsi" w:hAnsiTheme="minorHAnsi" w:cs="Calibri"/>
        </w:rPr>
      </w:pPr>
      <w:r w:rsidRPr="00943505">
        <w:rPr>
          <w:rFonts w:asciiTheme="minorHAnsi" w:hAnsiTheme="minorHAnsi" w:cs="Calibri"/>
        </w:rPr>
        <w:t xml:space="preserve">It is central to our work that we take action to address the social disadvantage faced by </w:t>
      </w:r>
      <w:r w:rsidR="00DD5D0D" w:rsidRPr="00943505">
        <w:rPr>
          <w:rFonts w:asciiTheme="minorHAnsi" w:hAnsiTheme="minorHAnsi" w:cs="Calibri"/>
        </w:rPr>
        <w:t xml:space="preserve">the communities </w:t>
      </w:r>
      <w:r w:rsidR="00A0463D">
        <w:rPr>
          <w:rFonts w:asciiTheme="minorHAnsi" w:hAnsiTheme="minorHAnsi" w:cs="Calibri"/>
        </w:rPr>
        <w:t xml:space="preserve">and young people </w:t>
      </w:r>
      <w:r w:rsidR="00DD5D0D" w:rsidRPr="00943505">
        <w:rPr>
          <w:rFonts w:asciiTheme="minorHAnsi" w:hAnsiTheme="minorHAnsi" w:cs="Calibri"/>
        </w:rPr>
        <w:t>we work with.</w:t>
      </w:r>
      <w:r w:rsidRPr="00943505">
        <w:rPr>
          <w:rFonts w:asciiTheme="minorHAnsi" w:hAnsiTheme="minorHAnsi" w:cs="Calibri"/>
        </w:rPr>
        <w:t xml:space="preserve"> We are aware that positive action may be needed in areas such as </w:t>
      </w:r>
      <w:r w:rsidR="00DD5D0D" w:rsidRPr="00943505">
        <w:rPr>
          <w:rFonts w:asciiTheme="minorHAnsi" w:hAnsiTheme="minorHAnsi" w:cs="Calibri"/>
        </w:rPr>
        <w:t>working younger people and people with.</w:t>
      </w:r>
    </w:p>
    <w:p w14:paraId="7BBC6343" w14:textId="77777777" w:rsidR="006F1086" w:rsidRPr="00943505" w:rsidRDefault="006F1086" w:rsidP="00736455">
      <w:pPr>
        <w:spacing w:after="120"/>
        <w:jc w:val="both"/>
        <w:rPr>
          <w:rFonts w:asciiTheme="minorHAnsi" w:hAnsiTheme="minorHAnsi" w:cs="Calibri"/>
        </w:rPr>
      </w:pPr>
      <w:r w:rsidRPr="00943505">
        <w:rPr>
          <w:rFonts w:asciiTheme="minorHAnsi" w:hAnsiTheme="minorHAnsi" w:cs="Calibri"/>
        </w:rPr>
        <w:t xml:space="preserve">Within this framework </w:t>
      </w:r>
      <w:r w:rsidR="00FC74E0" w:rsidRPr="00943505">
        <w:rPr>
          <w:rFonts w:asciiTheme="minorHAnsi" w:hAnsiTheme="minorHAnsi" w:cs="Calibri"/>
        </w:rPr>
        <w:t>the organisations</w:t>
      </w:r>
      <w:r w:rsidRPr="00943505">
        <w:rPr>
          <w:rFonts w:asciiTheme="minorHAnsi" w:hAnsiTheme="minorHAnsi" w:cs="Calibri"/>
        </w:rPr>
        <w:t xml:space="preserve"> will not discriminate on the basis of age, gender, disability, race, class, religion, sexuality, marital status, caring responsibility, HIV status or </w:t>
      </w:r>
      <w:r w:rsidR="00DD5D0D" w:rsidRPr="00943505">
        <w:rPr>
          <w:rFonts w:asciiTheme="minorHAnsi" w:hAnsiTheme="minorHAnsi" w:cs="Calibri"/>
        </w:rPr>
        <w:t xml:space="preserve">unrelated criminal conviction. </w:t>
      </w:r>
      <w:r w:rsidRPr="00943505">
        <w:rPr>
          <w:rFonts w:asciiTheme="minorHAnsi" w:hAnsiTheme="minorHAnsi" w:cs="Calibri"/>
        </w:rPr>
        <w:t>The project will also actively seek to ensure that no volunteer is subject to such discrimination with any host agency to</w:t>
      </w:r>
      <w:r w:rsidR="00DD5D0D" w:rsidRPr="00943505">
        <w:rPr>
          <w:rFonts w:asciiTheme="minorHAnsi" w:hAnsiTheme="minorHAnsi" w:cs="Calibri"/>
        </w:rPr>
        <w:t xml:space="preserve"> which he/she may be referred.</w:t>
      </w:r>
    </w:p>
    <w:p w14:paraId="7BBC6344" w14:textId="77777777" w:rsidR="00DD5D0D" w:rsidRPr="00943505" w:rsidRDefault="00DD5D0D" w:rsidP="00736455">
      <w:pPr>
        <w:spacing w:after="120"/>
        <w:jc w:val="both"/>
        <w:rPr>
          <w:rFonts w:asciiTheme="minorHAnsi" w:hAnsiTheme="minorHAnsi" w:cs="Calibri"/>
        </w:rPr>
      </w:pPr>
    </w:p>
    <w:p w14:paraId="7BBC6345" w14:textId="77777777" w:rsidR="006F1086" w:rsidRPr="00943505" w:rsidRDefault="006F1086" w:rsidP="00736455">
      <w:pPr>
        <w:spacing w:after="120"/>
        <w:jc w:val="both"/>
        <w:rPr>
          <w:rFonts w:asciiTheme="minorHAnsi" w:hAnsiTheme="minorHAnsi" w:cs="Calibri"/>
          <w:b/>
        </w:rPr>
      </w:pPr>
      <w:r w:rsidRPr="00943505">
        <w:rPr>
          <w:rFonts w:asciiTheme="minorHAnsi" w:hAnsiTheme="minorHAnsi" w:cs="Calibri"/>
          <w:b/>
        </w:rPr>
        <w:t>To make this policy effective, the management committee will:</w:t>
      </w:r>
    </w:p>
    <w:p w14:paraId="7BBC6346" w14:textId="77777777" w:rsidR="00A0463D" w:rsidRDefault="00DD5D0D" w:rsidP="00736455">
      <w:pPr>
        <w:pStyle w:val="ListBullet"/>
        <w:numPr>
          <w:ilvl w:val="0"/>
          <w:numId w:val="36"/>
        </w:numPr>
      </w:pPr>
      <w:r w:rsidRPr="00A0463D">
        <w:t>Work towards and maintain appropriate quality mark standards</w:t>
      </w:r>
    </w:p>
    <w:p w14:paraId="7BBC6347" w14:textId="77777777" w:rsidR="006F1086" w:rsidRPr="00A0463D" w:rsidRDefault="00DD5D0D" w:rsidP="00736455">
      <w:pPr>
        <w:pStyle w:val="ListBullet"/>
        <w:numPr>
          <w:ilvl w:val="0"/>
          <w:numId w:val="36"/>
        </w:numPr>
      </w:pPr>
      <w:r w:rsidRPr="00A0463D">
        <w:t>ensure that gaps in provision / access by under represented groups</w:t>
      </w:r>
      <w:r w:rsidR="006F1086" w:rsidRPr="00A0463D">
        <w:t xml:space="preserve"> are built into our service plans</w:t>
      </w:r>
      <w:r w:rsidR="00A0463D">
        <w:t>;</w:t>
      </w:r>
    </w:p>
    <w:p w14:paraId="7BBC6348" w14:textId="77777777" w:rsidR="006F1086" w:rsidRPr="00943505" w:rsidRDefault="006F1086" w:rsidP="00736455">
      <w:pPr>
        <w:pStyle w:val="ListBullet"/>
        <w:numPr>
          <w:ilvl w:val="0"/>
          <w:numId w:val="36"/>
        </w:numPr>
      </w:pPr>
      <w:r w:rsidRPr="00943505">
        <w:t>monitor, through verbal and written reports, and statistics where appropriate, the delivery, accessibility and</w:t>
      </w:r>
      <w:r w:rsidR="00A0463D">
        <w:t xml:space="preserve"> availability of our services;</w:t>
      </w:r>
    </w:p>
    <w:p w14:paraId="7BBC6349" w14:textId="77777777" w:rsidR="006F1086" w:rsidRPr="00943505" w:rsidRDefault="006F1086" w:rsidP="00736455">
      <w:pPr>
        <w:pStyle w:val="ListBullet"/>
        <w:numPr>
          <w:ilvl w:val="0"/>
          <w:numId w:val="36"/>
        </w:numPr>
      </w:pPr>
      <w:r w:rsidRPr="00943505">
        <w:t>continually review our service provision and provide where necessary training for management and staf</w:t>
      </w:r>
      <w:r w:rsidR="00DD5D0D" w:rsidRPr="00943505">
        <w:t>f members and volunteers</w:t>
      </w:r>
      <w:r w:rsidR="00A0463D">
        <w:t>;</w:t>
      </w:r>
    </w:p>
    <w:p w14:paraId="7BBC634A" w14:textId="77777777" w:rsidR="008D514B" w:rsidRPr="00943505" w:rsidRDefault="006F1086" w:rsidP="009A6EF9">
      <w:pPr>
        <w:pStyle w:val="ListBullet"/>
        <w:numPr>
          <w:ilvl w:val="0"/>
          <w:numId w:val="36"/>
        </w:numPr>
      </w:pPr>
      <w:r w:rsidRPr="00943505">
        <w:t>operate and publicise procedures for informal feedback and formal complaints</w:t>
      </w:r>
      <w:r w:rsidR="00A0463D">
        <w:t>.</w:t>
      </w:r>
    </w:p>
    <w:p w14:paraId="7BBC634B" w14:textId="77777777" w:rsidR="008D514B" w:rsidRPr="00943505" w:rsidRDefault="008D514B" w:rsidP="00736455">
      <w:pPr>
        <w:pStyle w:val="ListBullet"/>
      </w:pPr>
      <w:r w:rsidRPr="00943505">
        <w:t>Room Hire / Partner Agencies</w:t>
      </w:r>
    </w:p>
    <w:p w14:paraId="7BBC634C" w14:textId="77777777" w:rsidR="008D514B" w:rsidRPr="00943505" w:rsidRDefault="00A0463D" w:rsidP="00736455">
      <w:pPr>
        <w:pStyle w:val="ListBullet"/>
      </w:pPr>
      <w:r>
        <w:t>The organisation has</w:t>
      </w:r>
      <w:r w:rsidR="008D514B" w:rsidRPr="00943505">
        <w:t xml:space="preserve"> an expectation that room users / partner agencies who utilise space within </w:t>
      </w:r>
      <w:r w:rsidR="00FC74E0" w:rsidRPr="00943505">
        <w:t>our</w:t>
      </w:r>
      <w:r w:rsidR="008D514B" w:rsidRPr="00943505">
        <w:t xml:space="preserve"> premises and who work in partnership with us will work to the same statement, code of conduct and ethos. To communicate and share this information we will;</w:t>
      </w:r>
    </w:p>
    <w:p w14:paraId="7BBC634D" w14:textId="77777777" w:rsidR="008D514B" w:rsidRPr="00943505" w:rsidRDefault="008D514B" w:rsidP="00736455">
      <w:pPr>
        <w:pStyle w:val="ListBullet"/>
      </w:pPr>
      <w:r w:rsidRPr="00943505">
        <w:t>Display a copy of the full Equality and Diversity Policy in each centre</w:t>
      </w:r>
    </w:p>
    <w:p w14:paraId="7BBC634E" w14:textId="77777777" w:rsidR="006F1086" w:rsidRPr="00943505" w:rsidRDefault="006F1086" w:rsidP="00736455">
      <w:pPr>
        <w:pStyle w:val="Heading3"/>
        <w:spacing w:after="120"/>
        <w:jc w:val="both"/>
        <w:rPr>
          <w:rFonts w:asciiTheme="minorHAnsi" w:hAnsiTheme="minorHAnsi" w:cs="Calibri"/>
        </w:rPr>
      </w:pPr>
      <w:r w:rsidRPr="00943505">
        <w:rPr>
          <w:rFonts w:asciiTheme="minorHAnsi" w:hAnsiTheme="minorHAnsi" w:cs="Calibri"/>
        </w:rPr>
        <w:lastRenderedPageBreak/>
        <w:t>Employment &amp; Volunteering</w:t>
      </w:r>
    </w:p>
    <w:p w14:paraId="7BBC634F" w14:textId="77777777" w:rsidR="006F1086" w:rsidRPr="00943505" w:rsidRDefault="006F1086" w:rsidP="00736455">
      <w:pPr>
        <w:keepNext/>
        <w:spacing w:after="120"/>
        <w:jc w:val="both"/>
        <w:rPr>
          <w:rFonts w:asciiTheme="minorHAnsi" w:hAnsiTheme="minorHAnsi" w:cs="Calibri"/>
        </w:rPr>
      </w:pPr>
      <w:r w:rsidRPr="00943505">
        <w:rPr>
          <w:rFonts w:asciiTheme="minorHAnsi" w:hAnsiTheme="minorHAnsi" w:cs="Calibri"/>
        </w:rPr>
        <w:t>We are committed to being an equal opportunity employer. We will ensure that no job applicant, employee, volunteer or placement student:</w:t>
      </w:r>
    </w:p>
    <w:p w14:paraId="7BBC6350" w14:textId="77777777" w:rsidR="006F1086" w:rsidRPr="00943505" w:rsidRDefault="006F1086" w:rsidP="00736455">
      <w:pPr>
        <w:pStyle w:val="ListBullet"/>
      </w:pPr>
      <w:r w:rsidRPr="00943505">
        <w:t>receives less favourable treatment on the grounds of age, gender, marital status, race, religion, creed, sexual orientation, disability, unrelated criminal conviction, HIV status</w:t>
      </w:r>
      <w:r w:rsidR="00FC74E0" w:rsidRPr="00943505">
        <w:t xml:space="preserve"> or membership of a trade union </w:t>
      </w:r>
      <w:r w:rsidRPr="00943505">
        <w:t>is disadvantaged by conditions or requirements which cannot be justified</w:t>
      </w:r>
      <w:r w:rsidR="00A0463D">
        <w:t>.</w:t>
      </w:r>
    </w:p>
    <w:p w14:paraId="7BBC6351" w14:textId="77777777" w:rsidR="006F1086" w:rsidRPr="00943505" w:rsidRDefault="006F1086" w:rsidP="00736455">
      <w:pPr>
        <w:spacing w:after="120"/>
        <w:jc w:val="both"/>
        <w:rPr>
          <w:rFonts w:asciiTheme="minorHAnsi" w:hAnsiTheme="minorHAnsi" w:cs="Calibri"/>
        </w:rPr>
      </w:pPr>
      <w:r w:rsidRPr="00943505">
        <w:rPr>
          <w:rFonts w:asciiTheme="minorHAnsi" w:hAnsiTheme="minorHAnsi" w:cs="Calibri"/>
        </w:rPr>
        <w:t>The programme of action to make this policy effective involves:</w:t>
      </w:r>
    </w:p>
    <w:p w14:paraId="7BBC6352" w14:textId="77777777" w:rsidR="006F1086" w:rsidRPr="00943505" w:rsidRDefault="006F1086" w:rsidP="00736455">
      <w:pPr>
        <w:pStyle w:val="ListBullet"/>
      </w:pPr>
      <w:r w:rsidRPr="00943505">
        <w:t>internal procedures for resolving staff grievances [and problems arising for volunteers]</w:t>
      </w:r>
    </w:p>
    <w:p w14:paraId="7BBC6353" w14:textId="77777777" w:rsidR="006F1086" w:rsidRDefault="006F1086" w:rsidP="00736455">
      <w:pPr>
        <w:pStyle w:val="ListBullet"/>
      </w:pPr>
      <w:r w:rsidRPr="00943505">
        <w:t xml:space="preserve">fair and effective selection and appraisal procedures (to ensure that individuals are treated </w:t>
      </w:r>
      <w:proofErr w:type="gramStart"/>
      <w:r w:rsidRPr="00943505">
        <w:t>on the basis of</w:t>
      </w:r>
      <w:proofErr w:type="gramEnd"/>
      <w:r w:rsidRPr="00943505">
        <w:t xml:space="preserve"> their relevant merits and abilities)</w:t>
      </w:r>
      <w:r w:rsidR="00A0463D">
        <w:t>.</w:t>
      </w:r>
    </w:p>
    <w:p w14:paraId="7BBC6354" w14:textId="77777777" w:rsidR="00A0463D" w:rsidRDefault="00A0463D" w:rsidP="00736455">
      <w:pPr>
        <w:pStyle w:val="ListBullet"/>
        <w:numPr>
          <w:ilvl w:val="0"/>
          <w:numId w:val="0"/>
        </w:numPr>
      </w:pPr>
    </w:p>
    <w:p w14:paraId="7BBC6355" w14:textId="77777777" w:rsidR="006F1086" w:rsidRPr="00943505" w:rsidRDefault="006F1086" w:rsidP="00736455">
      <w:pPr>
        <w:pStyle w:val="Heading3"/>
        <w:spacing w:after="120"/>
        <w:jc w:val="both"/>
        <w:rPr>
          <w:rFonts w:asciiTheme="minorHAnsi" w:hAnsiTheme="minorHAnsi" w:cs="Calibri"/>
        </w:rPr>
      </w:pPr>
      <w:r w:rsidRPr="00943505">
        <w:rPr>
          <w:rFonts w:asciiTheme="minorHAnsi" w:hAnsiTheme="minorHAnsi" w:cs="Calibri"/>
        </w:rPr>
        <w:t>Governance</w:t>
      </w:r>
    </w:p>
    <w:p w14:paraId="7BBC6356" w14:textId="77777777" w:rsidR="000B492C" w:rsidRPr="00943505" w:rsidRDefault="006F1086" w:rsidP="00736455">
      <w:pPr>
        <w:spacing w:after="120"/>
        <w:jc w:val="both"/>
        <w:rPr>
          <w:rFonts w:asciiTheme="minorHAnsi" w:hAnsiTheme="minorHAnsi" w:cs="Calibri"/>
        </w:rPr>
      </w:pPr>
      <w:r w:rsidRPr="00943505">
        <w:rPr>
          <w:rFonts w:asciiTheme="minorHAnsi" w:hAnsiTheme="minorHAnsi" w:cs="Calibri"/>
        </w:rPr>
        <w:t>We will seek to ensure that our Board</w:t>
      </w:r>
      <w:r w:rsidR="00FC74E0" w:rsidRPr="00943505">
        <w:rPr>
          <w:rFonts w:asciiTheme="minorHAnsi" w:hAnsiTheme="minorHAnsi" w:cs="Calibri"/>
        </w:rPr>
        <w:t>s are</w:t>
      </w:r>
      <w:r w:rsidRPr="00943505">
        <w:rPr>
          <w:rFonts w:asciiTheme="minorHAnsi" w:hAnsiTheme="minorHAnsi" w:cs="Calibri"/>
        </w:rPr>
        <w:t xml:space="preserve"> made up of a diverse group of people, including </w:t>
      </w:r>
      <w:r w:rsidR="000B492C" w:rsidRPr="00943505">
        <w:rPr>
          <w:rFonts w:asciiTheme="minorHAnsi" w:hAnsiTheme="minorHAnsi" w:cs="Calibri"/>
        </w:rPr>
        <w:t>a range of age groups.</w:t>
      </w:r>
    </w:p>
    <w:p w14:paraId="7BBC6357" w14:textId="77777777" w:rsidR="006F1086" w:rsidRPr="00943505" w:rsidRDefault="006F1086" w:rsidP="00736455">
      <w:pPr>
        <w:spacing w:after="120"/>
        <w:jc w:val="both"/>
        <w:rPr>
          <w:rFonts w:asciiTheme="minorHAnsi" w:hAnsiTheme="minorHAnsi" w:cs="Calibri"/>
        </w:rPr>
      </w:pPr>
      <w:r w:rsidRPr="00943505">
        <w:rPr>
          <w:rFonts w:asciiTheme="minorHAnsi" w:hAnsiTheme="minorHAnsi" w:cs="Calibri"/>
        </w:rPr>
        <w:t>The programme of action to make this policy effective involves:</w:t>
      </w:r>
    </w:p>
    <w:p w14:paraId="7BBC6358" w14:textId="77777777" w:rsidR="006F1086" w:rsidRPr="00943505" w:rsidRDefault="006F1086" w:rsidP="00736455">
      <w:pPr>
        <w:pStyle w:val="ListBullet"/>
        <w:numPr>
          <w:ilvl w:val="0"/>
          <w:numId w:val="38"/>
        </w:numPr>
      </w:pPr>
      <w:r w:rsidRPr="00943505">
        <w:t>regular self-appraisal by the Board</w:t>
      </w:r>
      <w:r w:rsidR="00FC74E0" w:rsidRPr="00943505">
        <w:t>s</w:t>
      </w:r>
      <w:r w:rsidR="00A0463D">
        <w:t>;</w:t>
      </w:r>
    </w:p>
    <w:p w14:paraId="7BBC6359" w14:textId="77777777" w:rsidR="006F1086" w:rsidRPr="00943505" w:rsidRDefault="006F1086" w:rsidP="00736455">
      <w:pPr>
        <w:pStyle w:val="ListBullet"/>
        <w:numPr>
          <w:ilvl w:val="0"/>
          <w:numId w:val="38"/>
        </w:numPr>
      </w:pPr>
      <w:r w:rsidRPr="00943505">
        <w:t>clear and transparent polices for membership of the organisation and Board membership</w:t>
      </w:r>
      <w:r w:rsidR="00A0463D">
        <w:t>;</w:t>
      </w:r>
    </w:p>
    <w:p w14:paraId="7BBC635A" w14:textId="77777777" w:rsidR="000B492C" w:rsidRPr="00943505" w:rsidRDefault="000B492C" w:rsidP="00736455">
      <w:pPr>
        <w:pStyle w:val="ListBullet"/>
        <w:numPr>
          <w:ilvl w:val="0"/>
          <w:numId w:val="38"/>
        </w:numPr>
      </w:pPr>
      <w:r w:rsidRPr="00943505">
        <w:t>member and trustee recruitment plan</w:t>
      </w:r>
      <w:r w:rsidR="00FC74E0" w:rsidRPr="00943505">
        <w:t>s</w:t>
      </w:r>
      <w:r w:rsidR="00A0463D">
        <w:t>;</w:t>
      </w:r>
    </w:p>
    <w:p w14:paraId="7BBC635B" w14:textId="77777777" w:rsidR="006F1086" w:rsidRDefault="006F1086" w:rsidP="00736455">
      <w:pPr>
        <w:pStyle w:val="ListBullet"/>
        <w:numPr>
          <w:ilvl w:val="0"/>
          <w:numId w:val="38"/>
        </w:numPr>
      </w:pPr>
      <w:r w:rsidRPr="00943505">
        <w:t xml:space="preserve">induction, </w:t>
      </w:r>
      <w:proofErr w:type="gramStart"/>
      <w:r w:rsidRPr="00943505">
        <w:t>training</w:t>
      </w:r>
      <w:proofErr w:type="gramEnd"/>
      <w:r w:rsidRPr="00943505">
        <w:t xml:space="preserve"> and guidance for Board members</w:t>
      </w:r>
      <w:r w:rsidR="00A0463D">
        <w:t>.</w:t>
      </w:r>
    </w:p>
    <w:p w14:paraId="7BBC635C" w14:textId="77777777" w:rsidR="00A0463D" w:rsidRDefault="00A0463D" w:rsidP="00736455">
      <w:pPr>
        <w:pStyle w:val="ListBullet"/>
        <w:numPr>
          <w:ilvl w:val="0"/>
          <w:numId w:val="0"/>
        </w:numPr>
      </w:pPr>
    </w:p>
    <w:sectPr w:rsidR="00A0463D" w:rsidSect="004D1BD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6361" w14:textId="77777777" w:rsidR="005030BB" w:rsidRDefault="005030BB" w:rsidP="00AB7201">
      <w:pPr>
        <w:rPr>
          <w:rFonts w:cs="Times New Roman"/>
        </w:rPr>
      </w:pPr>
      <w:r>
        <w:rPr>
          <w:rFonts w:cs="Times New Roman"/>
        </w:rPr>
        <w:separator/>
      </w:r>
    </w:p>
  </w:endnote>
  <w:endnote w:type="continuationSeparator" w:id="0">
    <w:p w14:paraId="7BBC6362" w14:textId="77777777" w:rsidR="005030BB" w:rsidRDefault="005030BB" w:rsidP="00AB72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365" w14:textId="77777777" w:rsidR="00943505" w:rsidRPr="00DD70DE" w:rsidRDefault="00943505" w:rsidP="00943505">
    <w:pPr>
      <w:pStyle w:val="Footer"/>
      <w:rPr>
        <w:color w:val="808080" w:themeColor="background1" w:themeShade="80"/>
      </w:rPr>
    </w:pPr>
    <w:r w:rsidRPr="00DD70DE">
      <w:rPr>
        <w:color w:val="808080" w:themeColor="background1" w:themeShade="80"/>
      </w:rPr>
      <w:t>Gorse Hill Studios, Cavendish Road, Gorse Hill, Stretford, Manchester, M32 0PS</w:t>
    </w:r>
  </w:p>
  <w:p w14:paraId="7BBC6366" w14:textId="77777777" w:rsidR="00943505" w:rsidRPr="00DD70DE" w:rsidRDefault="00943505" w:rsidP="00943505">
    <w:pPr>
      <w:pStyle w:val="Footer"/>
      <w:rPr>
        <w:color w:val="808080" w:themeColor="background1" w:themeShade="80"/>
      </w:rPr>
    </w:pPr>
    <w:r w:rsidRPr="00DD70DE">
      <w:rPr>
        <w:color w:val="808080" w:themeColor="background1" w:themeShade="80"/>
      </w:rPr>
      <w:t>Charity Number: 1172118                            Company Number: 9646545</w:t>
    </w:r>
  </w:p>
  <w:p w14:paraId="7BBC6367" w14:textId="77777777" w:rsidR="00943505" w:rsidRDefault="00943505">
    <w:pPr>
      <w:pStyle w:val="Footer"/>
    </w:pPr>
  </w:p>
  <w:p w14:paraId="7BBC6368" w14:textId="77777777" w:rsidR="00943505" w:rsidRDefault="0094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635F" w14:textId="77777777" w:rsidR="005030BB" w:rsidRDefault="005030BB" w:rsidP="00AB7201">
      <w:pPr>
        <w:rPr>
          <w:rFonts w:cs="Times New Roman"/>
        </w:rPr>
      </w:pPr>
      <w:r>
        <w:rPr>
          <w:rFonts w:cs="Times New Roman"/>
        </w:rPr>
        <w:separator/>
      </w:r>
    </w:p>
  </w:footnote>
  <w:footnote w:type="continuationSeparator" w:id="0">
    <w:p w14:paraId="7BBC6360" w14:textId="77777777" w:rsidR="005030BB" w:rsidRDefault="005030BB" w:rsidP="00AB72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363" w14:textId="77777777" w:rsidR="00943505" w:rsidRDefault="00943505" w:rsidP="00943505">
    <w:pPr>
      <w:pStyle w:val="Header"/>
      <w:jc w:val="right"/>
    </w:pPr>
    <w:r>
      <w:rPr>
        <w:noProof/>
        <w:lang w:val="en-GB"/>
      </w:rPr>
      <w:drawing>
        <wp:inline distT="0" distB="0" distL="0" distR="0" wp14:anchorId="7BBC6369" wp14:editId="7BBC636A">
          <wp:extent cx="26670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ress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7BBC6364" w14:textId="77777777" w:rsidR="00943505" w:rsidRDefault="0094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F852D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65F0D"/>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02867BC5"/>
    <w:multiLevelType w:val="multilevel"/>
    <w:tmpl w:val="F3C0B09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07E0409A"/>
    <w:multiLevelType w:val="hybridMultilevel"/>
    <w:tmpl w:val="C0F87C9E"/>
    <w:lvl w:ilvl="0" w:tplc="08090019">
      <w:start w:val="1"/>
      <w:numFmt w:val="lowerLetter"/>
      <w:lvlText w:val="%1."/>
      <w:lvlJc w:val="left"/>
      <w:pPr>
        <w:ind w:left="1166" w:hanging="360"/>
      </w:pPr>
    </w:lvl>
    <w:lvl w:ilvl="1" w:tplc="08090019">
      <w:start w:val="1"/>
      <w:numFmt w:val="lowerLetter"/>
      <w:lvlText w:val="%2."/>
      <w:lvlJc w:val="left"/>
      <w:pPr>
        <w:ind w:left="1886" w:hanging="360"/>
      </w:pPr>
    </w:lvl>
    <w:lvl w:ilvl="2" w:tplc="0809001B">
      <w:start w:val="1"/>
      <w:numFmt w:val="lowerRoman"/>
      <w:lvlText w:val="%3."/>
      <w:lvlJc w:val="right"/>
      <w:pPr>
        <w:ind w:left="2606" w:hanging="180"/>
      </w:pPr>
    </w:lvl>
    <w:lvl w:ilvl="3" w:tplc="0809000F">
      <w:start w:val="1"/>
      <w:numFmt w:val="decimal"/>
      <w:lvlText w:val="%4."/>
      <w:lvlJc w:val="left"/>
      <w:pPr>
        <w:ind w:left="3326" w:hanging="360"/>
      </w:pPr>
    </w:lvl>
    <w:lvl w:ilvl="4" w:tplc="08090019">
      <w:start w:val="1"/>
      <w:numFmt w:val="lowerLetter"/>
      <w:lvlText w:val="%5."/>
      <w:lvlJc w:val="left"/>
      <w:pPr>
        <w:ind w:left="4046" w:hanging="360"/>
      </w:pPr>
    </w:lvl>
    <w:lvl w:ilvl="5" w:tplc="0809001B">
      <w:start w:val="1"/>
      <w:numFmt w:val="lowerRoman"/>
      <w:lvlText w:val="%6."/>
      <w:lvlJc w:val="right"/>
      <w:pPr>
        <w:ind w:left="4766" w:hanging="180"/>
      </w:pPr>
    </w:lvl>
    <w:lvl w:ilvl="6" w:tplc="0809000F">
      <w:start w:val="1"/>
      <w:numFmt w:val="decimal"/>
      <w:lvlText w:val="%7."/>
      <w:lvlJc w:val="left"/>
      <w:pPr>
        <w:ind w:left="5486" w:hanging="360"/>
      </w:pPr>
    </w:lvl>
    <w:lvl w:ilvl="7" w:tplc="08090019">
      <w:start w:val="1"/>
      <w:numFmt w:val="lowerLetter"/>
      <w:lvlText w:val="%8."/>
      <w:lvlJc w:val="left"/>
      <w:pPr>
        <w:ind w:left="6206" w:hanging="360"/>
      </w:pPr>
    </w:lvl>
    <w:lvl w:ilvl="8" w:tplc="0809001B">
      <w:start w:val="1"/>
      <w:numFmt w:val="lowerRoman"/>
      <w:lvlText w:val="%9."/>
      <w:lvlJc w:val="right"/>
      <w:pPr>
        <w:ind w:left="6926" w:hanging="180"/>
      </w:pPr>
    </w:lvl>
  </w:abstractNum>
  <w:abstractNum w:abstractNumId="4" w15:restartNumberingAfterBreak="0">
    <w:nsid w:val="0ACF4642"/>
    <w:multiLevelType w:val="hybridMultilevel"/>
    <w:tmpl w:val="22F69B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D411FD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850E1"/>
    <w:multiLevelType w:val="hybridMultilevel"/>
    <w:tmpl w:val="281A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823F3"/>
    <w:multiLevelType w:val="hybridMultilevel"/>
    <w:tmpl w:val="F6BC37BC"/>
    <w:lvl w:ilvl="0" w:tplc="9E8CDF5C">
      <w:start w:val="1"/>
      <w:numFmt w:val="decimal"/>
      <w:lvlText w:val="%1."/>
      <w:lvlJc w:val="left"/>
      <w:pPr>
        <w:ind w:left="720" w:hanging="360"/>
      </w:pPr>
      <w:rPr>
        <w:rFonts w:asciiTheme="minorHAnsi" w:eastAsia="Calibri" w:hAnsiTheme="minorHAns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76664B"/>
    <w:multiLevelType w:val="hybridMultilevel"/>
    <w:tmpl w:val="227E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75A2"/>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17DC0C02"/>
    <w:multiLevelType w:val="hybridMultilevel"/>
    <w:tmpl w:val="9CDE9FFC"/>
    <w:lvl w:ilvl="0" w:tplc="FBBC1BDC">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57520C"/>
    <w:multiLevelType w:val="hybridMultilevel"/>
    <w:tmpl w:val="6606908A"/>
    <w:lvl w:ilvl="0" w:tplc="7EEA470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8717E"/>
    <w:multiLevelType w:val="multilevel"/>
    <w:tmpl w:val="63808CF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2DA20B3"/>
    <w:multiLevelType w:val="hybridMultilevel"/>
    <w:tmpl w:val="662E6204"/>
    <w:lvl w:ilvl="0" w:tplc="0809000F">
      <w:start w:val="1"/>
      <w:numFmt w:val="decimal"/>
      <w:lvlText w:val="%1."/>
      <w:lvlJc w:val="left"/>
      <w:pPr>
        <w:ind w:left="1596" w:hanging="360"/>
      </w:pPr>
    </w:lvl>
    <w:lvl w:ilvl="1" w:tplc="08090019">
      <w:start w:val="1"/>
      <w:numFmt w:val="lowerLetter"/>
      <w:lvlText w:val="%2."/>
      <w:lvlJc w:val="left"/>
      <w:pPr>
        <w:ind w:left="2316" w:hanging="360"/>
      </w:pPr>
    </w:lvl>
    <w:lvl w:ilvl="2" w:tplc="0809001B">
      <w:start w:val="1"/>
      <w:numFmt w:val="lowerRoman"/>
      <w:lvlText w:val="%3."/>
      <w:lvlJc w:val="right"/>
      <w:pPr>
        <w:ind w:left="3036" w:hanging="180"/>
      </w:pPr>
    </w:lvl>
    <w:lvl w:ilvl="3" w:tplc="0809000F">
      <w:start w:val="1"/>
      <w:numFmt w:val="decimal"/>
      <w:lvlText w:val="%4."/>
      <w:lvlJc w:val="left"/>
      <w:pPr>
        <w:ind w:left="3756" w:hanging="360"/>
      </w:pPr>
    </w:lvl>
    <w:lvl w:ilvl="4" w:tplc="08090019">
      <w:start w:val="1"/>
      <w:numFmt w:val="lowerLetter"/>
      <w:lvlText w:val="%5."/>
      <w:lvlJc w:val="left"/>
      <w:pPr>
        <w:ind w:left="4476" w:hanging="360"/>
      </w:pPr>
    </w:lvl>
    <w:lvl w:ilvl="5" w:tplc="0809001B">
      <w:start w:val="1"/>
      <w:numFmt w:val="lowerRoman"/>
      <w:lvlText w:val="%6."/>
      <w:lvlJc w:val="right"/>
      <w:pPr>
        <w:ind w:left="5196" w:hanging="180"/>
      </w:pPr>
    </w:lvl>
    <w:lvl w:ilvl="6" w:tplc="0809000F">
      <w:start w:val="1"/>
      <w:numFmt w:val="decimal"/>
      <w:lvlText w:val="%7."/>
      <w:lvlJc w:val="left"/>
      <w:pPr>
        <w:ind w:left="5916" w:hanging="360"/>
      </w:pPr>
    </w:lvl>
    <w:lvl w:ilvl="7" w:tplc="08090019">
      <w:start w:val="1"/>
      <w:numFmt w:val="lowerLetter"/>
      <w:lvlText w:val="%8."/>
      <w:lvlJc w:val="left"/>
      <w:pPr>
        <w:ind w:left="6636" w:hanging="360"/>
      </w:pPr>
    </w:lvl>
    <w:lvl w:ilvl="8" w:tplc="0809001B">
      <w:start w:val="1"/>
      <w:numFmt w:val="lowerRoman"/>
      <w:lvlText w:val="%9."/>
      <w:lvlJc w:val="right"/>
      <w:pPr>
        <w:ind w:left="7356" w:hanging="180"/>
      </w:pPr>
    </w:lvl>
  </w:abstractNum>
  <w:abstractNum w:abstractNumId="15" w15:restartNumberingAfterBreak="0">
    <w:nsid w:val="33A17540"/>
    <w:multiLevelType w:val="multilevel"/>
    <w:tmpl w:val="CAEE97B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974E4F"/>
    <w:multiLevelType w:val="hybridMultilevel"/>
    <w:tmpl w:val="D7F698AC"/>
    <w:lvl w:ilvl="0" w:tplc="7F1AAB32">
      <w:start w:val="1"/>
      <w:numFmt w:val="bullet"/>
      <w:lvlText w:val=""/>
      <w:lvlJc w:val="left"/>
      <w:pPr>
        <w:tabs>
          <w:tab w:val="num" w:pos="1117"/>
        </w:tabs>
        <w:ind w:left="1117" w:hanging="284"/>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6423E23"/>
    <w:multiLevelType w:val="hybridMultilevel"/>
    <w:tmpl w:val="1232753C"/>
    <w:lvl w:ilvl="0" w:tplc="07CA3FF6">
      <w:start w:val="1"/>
      <w:numFmt w:val="upperLetter"/>
      <w:lvlText w:val="%1)"/>
      <w:lvlJc w:val="left"/>
      <w:pPr>
        <w:ind w:left="927" w:hanging="570"/>
      </w:pPr>
      <w:rPr>
        <w:rFonts w:ascii="Trebuchet MS" w:hAnsi="Trebuchet MS" w:cs="Trebuchet MS" w:hint="default"/>
        <w:b/>
        <w:bCs/>
        <w:sz w:val="22"/>
        <w:szCs w:val="22"/>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8" w15:restartNumberingAfterBreak="0">
    <w:nsid w:val="36C2014F"/>
    <w:multiLevelType w:val="multilevel"/>
    <w:tmpl w:val="CCB26BE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B66307"/>
    <w:multiLevelType w:val="hybridMultilevel"/>
    <w:tmpl w:val="BB30A3A2"/>
    <w:lvl w:ilvl="0" w:tplc="7F1AAB32">
      <w:start w:val="1"/>
      <w:numFmt w:val="bullet"/>
      <w:lvlText w:val=""/>
      <w:lvlJc w:val="left"/>
      <w:pPr>
        <w:tabs>
          <w:tab w:val="num" w:pos="397"/>
        </w:tabs>
        <w:ind w:left="397"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5B44BA"/>
    <w:multiLevelType w:val="multilevel"/>
    <w:tmpl w:val="AAEC976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E8612B"/>
    <w:multiLevelType w:val="hybridMultilevel"/>
    <w:tmpl w:val="F5CC34E4"/>
    <w:lvl w:ilvl="0" w:tplc="7F1AAB32">
      <w:start w:val="1"/>
      <w:numFmt w:val="bullet"/>
      <w:lvlText w:val=""/>
      <w:lvlJc w:val="left"/>
      <w:pPr>
        <w:tabs>
          <w:tab w:val="num" w:pos="1117"/>
        </w:tabs>
        <w:ind w:left="1117" w:hanging="284"/>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0D3661F"/>
    <w:multiLevelType w:val="multilevel"/>
    <w:tmpl w:val="F3C0B09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15:restartNumberingAfterBreak="0">
    <w:nsid w:val="511017E5"/>
    <w:multiLevelType w:val="hybridMultilevel"/>
    <w:tmpl w:val="D8388EA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4" w15:restartNumberingAfterBreak="0">
    <w:nsid w:val="54DA7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F97959"/>
    <w:multiLevelType w:val="multilevel"/>
    <w:tmpl w:val="F3C0B09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6" w15:restartNumberingAfterBreak="0">
    <w:nsid w:val="5B964DDA"/>
    <w:multiLevelType w:val="multilevel"/>
    <w:tmpl w:val="DF569B9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C155FE7"/>
    <w:multiLevelType w:val="hybridMultilevel"/>
    <w:tmpl w:val="F05829F2"/>
    <w:lvl w:ilvl="0" w:tplc="517EE646">
      <w:start w:val="1"/>
      <w:numFmt w:val="lowerLetter"/>
      <w:lvlText w:val="%1."/>
      <w:lvlJc w:val="left"/>
      <w:pPr>
        <w:ind w:left="11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0FA216D"/>
    <w:multiLevelType w:val="hybridMultilevel"/>
    <w:tmpl w:val="21842C40"/>
    <w:lvl w:ilvl="0" w:tplc="7F1AAB32">
      <w:start w:val="1"/>
      <w:numFmt w:val="bullet"/>
      <w:lvlText w:val=""/>
      <w:lvlJc w:val="left"/>
      <w:pPr>
        <w:tabs>
          <w:tab w:val="num" w:pos="1117"/>
        </w:tabs>
        <w:ind w:left="1117" w:hanging="284"/>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64A4320E"/>
    <w:multiLevelType w:val="multilevel"/>
    <w:tmpl w:val="F3C0B09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0" w15:restartNumberingAfterBreak="0">
    <w:nsid w:val="68112B77"/>
    <w:multiLevelType w:val="multilevel"/>
    <w:tmpl w:val="F3C0B09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1" w15:restartNumberingAfterBreak="0">
    <w:nsid w:val="68C653C8"/>
    <w:multiLevelType w:val="multilevel"/>
    <w:tmpl w:val="E04C3D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99E3133"/>
    <w:multiLevelType w:val="hybridMultilevel"/>
    <w:tmpl w:val="698CC0B6"/>
    <w:lvl w:ilvl="0" w:tplc="7F1AAB32">
      <w:start w:val="1"/>
      <w:numFmt w:val="bullet"/>
      <w:lvlText w:val=""/>
      <w:lvlJc w:val="left"/>
      <w:pPr>
        <w:tabs>
          <w:tab w:val="num" w:pos="1117"/>
        </w:tabs>
        <w:ind w:left="1117" w:hanging="284"/>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6C6126B5"/>
    <w:multiLevelType w:val="multilevel"/>
    <w:tmpl w:val="29809AC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3BA7317"/>
    <w:multiLevelType w:val="multilevel"/>
    <w:tmpl w:val="183650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94F288A"/>
    <w:multiLevelType w:val="hybridMultilevel"/>
    <w:tmpl w:val="CC1287F6"/>
    <w:lvl w:ilvl="0" w:tplc="7F1AAB32">
      <w:start w:val="1"/>
      <w:numFmt w:val="bullet"/>
      <w:lvlText w:val=""/>
      <w:lvlJc w:val="left"/>
      <w:pPr>
        <w:tabs>
          <w:tab w:val="num" w:pos="1117"/>
        </w:tabs>
        <w:ind w:left="1117" w:hanging="284"/>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0"/>
  </w:num>
  <w:num w:numId="3">
    <w:abstractNumId w:val="0"/>
  </w:num>
  <w:num w:numId="4">
    <w:abstractNumId w:val="19"/>
  </w:num>
  <w:num w:numId="5">
    <w:abstractNumId w:val="31"/>
  </w:num>
  <w:num w:numId="6">
    <w:abstractNumId w:val="13"/>
  </w:num>
  <w:num w:numId="7">
    <w:abstractNumId w:val="34"/>
  </w:num>
  <w:num w:numId="8">
    <w:abstractNumId w:val="16"/>
  </w:num>
  <w:num w:numId="9">
    <w:abstractNumId w:val="18"/>
  </w:num>
  <w:num w:numId="10">
    <w:abstractNumId w:val="32"/>
  </w:num>
  <w:num w:numId="11">
    <w:abstractNumId w:val="35"/>
  </w:num>
  <w:num w:numId="12">
    <w:abstractNumId w:val="26"/>
  </w:num>
  <w:num w:numId="13">
    <w:abstractNumId w:val="21"/>
  </w:num>
  <w:num w:numId="14">
    <w:abstractNumId w:val="15"/>
  </w:num>
  <w:num w:numId="15">
    <w:abstractNumId w:val="33"/>
  </w:num>
  <w:num w:numId="16">
    <w:abstractNumId w:val="28"/>
  </w:num>
  <w:num w:numId="17">
    <w:abstractNumId w:val="4"/>
  </w:num>
  <w:num w:numId="18">
    <w:abstractNumId w:val="5"/>
  </w:num>
  <w:num w:numId="19">
    <w:abstractNumId w:val="24"/>
  </w:num>
  <w:num w:numId="20">
    <w:abstractNumId w:val="9"/>
  </w:num>
  <w:num w:numId="21">
    <w:abstractNumId w:val="20"/>
  </w:num>
  <w:num w:numId="22">
    <w:abstractNumId w:val="1"/>
  </w:num>
  <w:num w:numId="23">
    <w:abstractNumId w:val="29"/>
  </w:num>
  <w:num w:numId="24">
    <w:abstractNumId w:val="22"/>
  </w:num>
  <w:num w:numId="25">
    <w:abstractNumId w:val="30"/>
  </w:num>
  <w:num w:numId="26">
    <w:abstractNumId w:val="25"/>
  </w:num>
  <w:num w:numId="27">
    <w:abstractNumId w:val="2"/>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6"/>
  </w:num>
  <w:num w:numId="37">
    <w:abstractNumId w:val="12"/>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F5"/>
    <w:rsid w:val="0004101D"/>
    <w:rsid w:val="00054C7A"/>
    <w:rsid w:val="00085963"/>
    <w:rsid w:val="000B492C"/>
    <w:rsid w:val="001377B9"/>
    <w:rsid w:val="0014085D"/>
    <w:rsid w:val="001A308B"/>
    <w:rsid w:val="001C3FE9"/>
    <w:rsid w:val="001C50B9"/>
    <w:rsid w:val="001F03DB"/>
    <w:rsid w:val="00211248"/>
    <w:rsid w:val="00272020"/>
    <w:rsid w:val="0029437C"/>
    <w:rsid w:val="002C25E3"/>
    <w:rsid w:val="0035331C"/>
    <w:rsid w:val="003562A8"/>
    <w:rsid w:val="003659D4"/>
    <w:rsid w:val="003E62E2"/>
    <w:rsid w:val="003F6C10"/>
    <w:rsid w:val="00434E3F"/>
    <w:rsid w:val="00441D25"/>
    <w:rsid w:val="00484FC1"/>
    <w:rsid w:val="004B00D1"/>
    <w:rsid w:val="004C0B50"/>
    <w:rsid w:val="004C2159"/>
    <w:rsid w:val="004D1BD8"/>
    <w:rsid w:val="004E7A9D"/>
    <w:rsid w:val="005030BB"/>
    <w:rsid w:val="00524EE1"/>
    <w:rsid w:val="00537649"/>
    <w:rsid w:val="00552CFF"/>
    <w:rsid w:val="005535F0"/>
    <w:rsid w:val="00575B20"/>
    <w:rsid w:val="005A2083"/>
    <w:rsid w:val="00601982"/>
    <w:rsid w:val="0064673F"/>
    <w:rsid w:val="00684C95"/>
    <w:rsid w:val="006C3D7D"/>
    <w:rsid w:val="006F1086"/>
    <w:rsid w:val="00707359"/>
    <w:rsid w:val="00736455"/>
    <w:rsid w:val="00737434"/>
    <w:rsid w:val="00750361"/>
    <w:rsid w:val="007602D7"/>
    <w:rsid w:val="007673A6"/>
    <w:rsid w:val="00790B00"/>
    <w:rsid w:val="007951F5"/>
    <w:rsid w:val="007A0A96"/>
    <w:rsid w:val="007A41A0"/>
    <w:rsid w:val="007B5232"/>
    <w:rsid w:val="007B59ED"/>
    <w:rsid w:val="007F11D3"/>
    <w:rsid w:val="00812FD6"/>
    <w:rsid w:val="008311A5"/>
    <w:rsid w:val="008354C0"/>
    <w:rsid w:val="00850C39"/>
    <w:rsid w:val="008A0523"/>
    <w:rsid w:val="008A059C"/>
    <w:rsid w:val="008A710B"/>
    <w:rsid w:val="008D514B"/>
    <w:rsid w:val="008E157B"/>
    <w:rsid w:val="00935B5E"/>
    <w:rsid w:val="00943505"/>
    <w:rsid w:val="009A6EF9"/>
    <w:rsid w:val="009B5E12"/>
    <w:rsid w:val="009E7F7F"/>
    <w:rsid w:val="00A0463D"/>
    <w:rsid w:val="00A21B53"/>
    <w:rsid w:val="00A46ED2"/>
    <w:rsid w:val="00AB5C99"/>
    <w:rsid w:val="00AB7201"/>
    <w:rsid w:val="00AE62CC"/>
    <w:rsid w:val="00AF57FD"/>
    <w:rsid w:val="00B10486"/>
    <w:rsid w:val="00B23C7F"/>
    <w:rsid w:val="00B6500E"/>
    <w:rsid w:val="00BB2F5D"/>
    <w:rsid w:val="00BF22F1"/>
    <w:rsid w:val="00C45739"/>
    <w:rsid w:val="00C52413"/>
    <w:rsid w:val="00C758B9"/>
    <w:rsid w:val="00C84B6D"/>
    <w:rsid w:val="00CB33F6"/>
    <w:rsid w:val="00CB3A11"/>
    <w:rsid w:val="00D31657"/>
    <w:rsid w:val="00D81D89"/>
    <w:rsid w:val="00DA457A"/>
    <w:rsid w:val="00DD5D0D"/>
    <w:rsid w:val="00E1072C"/>
    <w:rsid w:val="00E459E1"/>
    <w:rsid w:val="00E62EA0"/>
    <w:rsid w:val="00E73A95"/>
    <w:rsid w:val="00E97581"/>
    <w:rsid w:val="00ED213E"/>
    <w:rsid w:val="00ED4780"/>
    <w:rsid w:val="00EF677C"/>
    <w:rsid w:val="00F05F0F"/>
    <w:rsid w:val="00F42E38"/>
    <w:rsid w:val="00F57F86"/>
    <w:rsid w:val="00F7748E"/>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BC62F8"/>
  <w15:docId w15:val="{4A4303C6-3AF3-4075-87E4-9285D5D3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D7"/>
    <w:rPr>
      <w:rFonts w:ascii="Trebuchet MS" w:eastAsia="Times New Roman" w:hAnsi="Trebuchet MS" w:cs="Trebuchet MS"/>
      <w:sz w:val="24"/>
      <w:szCs w:val="24"/>
    </w:rPr>
  </w:style>
  <w:style w:type="paragraph" w:styleId="Heading3">
    <w:name w:val="heading 3"/>
    <w:basedOn w:val="Normal"/>
    <w:next w:val="Normal"/>
    <w:link w:val="Heading3Char"/>
    <w:uiPriority w:val="99"/>
    <w:qFormat/>
    <w:locked/>
    <w:rsid w:val="00C45739"/>
    <w:pPr>
      <w:keepNext/>
      <w:spacing w:before="240" w:after="60"/>
      <w:outlineLvl w:val="2"/>
    </w:pPr>
    <w:rPr>
      <w:rFonts w:ascii="Cambria" w:eastAsia="Calibri" w:hAnsi="Cambria" w:cs="Times New Roman"/>
      <w:b/>
      <w:bCs/>
      <w:sz w:val="26"/>
      <w:szCs w:val="26"/>
    </w:rPr>
  </w:style>
  <w:style w:type="paragraph" w:styleId="Heading8">
    <w:name w:val="heading 8"/>
    <w:basedOn w:val="Normal"/>
    <w:next w:val="Normal"/>
    <w:link w:val="Heading8Char"/>
    <w:semiHidden/>
    <w:unhideWhenUsed/>
    <w:qFormat/>
    <w:locked/>
    <w:rsid w:val="009435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9435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mbria" w:hAnsi="Cambria" w:cs="Cambria"/>
      <w:b/>
      <w:bCs/>
      <w:sz w:val="26"/>
      <w:szCs w:val="26"/>
      <w:lang w:val="en-GB" w:eastAsia="en-GB"/>
    </w:rPr>
  </w:style>
  <w:style w:type="paragraph" w:styleId="Header">
    <w:name w:val="header"/>
    <w:basedOn w:val="Normal"/>
    <w:link w:val="HeaderChar"/>
    <w:uiPriority w:val="99"/>
    <w:rsid w:val="007602D7"/>
    <w:pPr>
      <w:tabs>
        <w:tab w:val="center" w:pos="4153"/>
        <w:tab w:val="right" w:pos="8306"/>
      </w:tabs>
    </w:pPr>
    <w:rPr>
      <w:rFonts w:eastAsia="Calibri" w:cs="Times New Roman"/>
      <w:lang w:val="x-none"/>
    </w:rPr>
  </w:style>
  <w:style w:type="character" w:customStyle="1" w:styleId="HeaderChar">
    <w:name w:val="Header Char"/>
    <w:link w:val="Header"/>
    <w:uiPriority w:val="99"/>
    <w:locked/>
    <w:rsid w:val="007602D7"/>
    <w:rPr>
      <w:rFonts w:ascii="Trebuchet MS" w:hAnsi="Trebuchet MS" w:cs="Trebuchet MS"/>
      <w:sz w:val="24"/>
      <w:szCs w:val="24"/>
      <w:lang w:eastAsia="en-GB"/>
    </w:rPr>
  </w:style>
  <w:style w:type="paragraph" w:customStyle="1" w:styleId="Style">
    <w:name w:val="Style"/>
    <w:uiPriority w:val="99"/>
    <w:rsid w:val="007602D7"/>
    <w:pPr>
      <w:widowControl w:val="0"/>
      <w:autoSpaceDE w:val="0"/>
      <w:autoSpaceDN w:val="0"/>
      <w:adjustRightInd w:val="0"/>
    </w:pPr>
    <w:rPr>
      <w:rFonts w:ascii="Arial" w:eastAsia="Times New Roman" w:hAnsi="Arial" w:cs="Arial"/>
      <w:sz w:val="24"/>
      <w:szCs w:val="24"/>
      <w:lang w:val="en-US" w:eastAsia="en-US"/>
    </w:rPr>
  </w:style>
  <w:style w:type="paragraph" w:styleId="BalloonText">
    <w:name w:val="Balloon Text"/>
    <w:basedOn w:val="Normal"/>
    <w:link w:val="BalloonTextChar"/>
    <w:uiPriority w:val="99"/>
    <w:semiHidden/>
    <w:rsid w:val="0064673F"/>
    <w:rPr>
      <w:rFonts w:ascii="Tahoma" w:eastAsia="Calibri" w:hAnsi="Tahoma" w:cs="Times New Roman"/>
      <w:sz w:val="16"/>
      <w:szCs w:val="16"/>
      <w:lang w:val="x-none"/>
    </w:rPr>
  </w:style>
  <w:style w:type="character" w:customStyle="1" w:styleId="BalloonTextChar">
    <w:name w:val="Balloon Text Char"/>
    <w:link w:val="BalloonText"/>
    <w:uiPriority w:val="99"/>
    <w:semiHidden/>
    <w:locked/>
    <w:rsid w:val="0064673F"/>
    <w:rPr>
      <w:rFonts w:ascii="Tahoma" w:hAnsi="Tahoma" w:cs="Tahoma"/>
      <w:sz w:val="16"/>
      <w:szCs w:val="16"/>
      <w:lang w:eastAsia="en-GB"/>
    </w:rPr>
  </w:style>
  <w:style w:type="paragraph" w:styleId="ListParagraph">
    <w:name w:val="List Paragraph"/>
    <w:basedOn w:val="Normal"/>
    <w:uiPriority w:val="34"/>
    <w:qFormat/>
    <w:rsid w:val="008A710B"/>
    <w:pPr>
      <w:ind w:left="720"/>
    </w:pPr>
  </w:style>
  <w:style w:type="paragraph" w:styleId="Footer">
    <w:name w:val="footer"/>
    <w:basedOn w:val="Normal"/>
    <w:link w:val="FooterChar"/>
    <w:uiPriority w:val="99"/>
    <w:rsid w:val="00AB7201"/>
    <w:pPr>
      <w:tabs>
        <w:tab w:val="center" w:pos="4513"/>
        <w:tab w:val="right" w:pos="9026"/>
      </w:tabs>
    </w:pPr>
    <w:rPr>
      <w:rFonts w:eastAsia="Calibri" w:cs="Times New Roman"/>
      <w:lang w:val="x-none"/>
    </w:rPr>
  </w:style>
  <w:style w:type="character" w:customStyle="1" w:styleId="FooterChar">
    <w:name w:val="Footer Char"/>
    <w:link w:val="Footer"/>
    <w:uiPriority w:val="99"/>
    <w:locked/>
    <w:rsid w:val="00AB7201"/>
    <w:rPr>
      <w:rFonts w:ascii="Trebuchet MS" w:hAnsi="Trebuchet MS" w:cs="Trebuchet MS"/>
      <w:sz w:val="24"/>
      <w:szCs w:val="24"/>
      <w:lang w:eastAsia="en-GB"/>
    </w:rPr>
  </w:style>
  <w:style w:type="character" w:customStyle="1" w:styleId="BodyTextChar">
    <w:name w:val="Body Text Char"/>
    <w:link w:val="BodyText"/>
    <w:uiPriority w:val="99"/>
    <w:locked/>
    <w:rsid w:val="00C45739"/>
    <w:rPr>
      <w:rFonts w:ascii="Trebuchet MS" w:hAnsi="Trebuchet MS" w:cs="Trebuchet MS"/>
      <w:sz w:val="24"/>
      <w:szCs w:val="24"/>
      <w:lang w:val="en-GB" w:eastAsia="en-US"/>
    </w:rPr>
  </w:style>
  <w:style w:type="paragraph" w:styleId="BodyText">
    <w:name w:val="Body Text"/>
    <w:basedOn w:val="Normal"/>
    <w:link w:val="BodyTextChar"/>
    <w:uiPriority w:val="99"/>
    <w:rsid w:val="00C45739"/>
    <w:pPr>
      <w:framePr w:hSpace="180" w:wrap="notBeside" w:vAnchor="text" w:hAnchor="margin" w:xAlign="center" w:y="17"/>
    </w:pPr>
    <w:rPr>
      <w:rFonts w:eastAsia="Calibri" w:cs="Times New Roman"/>
      <w:lang w:eastAsia="en-US"/>
    </w:rPr>
  </w:style>
  <w:style w:type="character" w:customStyle="1" w:styleId="BodyTextChar1">
    <w:name w:val="Body Text Char1"/>
    <w:uiPriority w:val="99"/>
    <w:semiHidden/>
    <w:locked/>
    <w:rPr>
      <w:rFonts w:ascii="Trebuchet MS" w:hAnsi="Trebuchet MS" w:cs="Trebuchet MS"/>
      <w:sz w:val="24"/>
      <w:szCs w:val="24"/>
      <w:lang w:val="en-GB" w:eastAsia="en-GB"/>
    </w:rPr>
  </w:style>
  <w:style w:type="paragraph" w:styleId="ListBullet">
    <w:name w:val="List Bullet"/>
    <w:basedOn w:val="Normal"/>
    <w:autoRedefine/>
    <w:uiPriority w:val="99"/>
    <w:rsid w:val="00A0463D"/>
    <w:pPr>
      <w:numPr>
        <w:numId w:val="37"/>
      </w:numPr>
      <w:spacing w:after="120"/>
      <w:jc w:val="both"/>
    </w:pPr>
    <w:rPr>
      <w:rFonts w:ascii="Calibri" w:eastAsia="Calibri" w:hAnsi="Calibri" w:cs="Calibri"/>
      <w:lang w:eastAsia="en-US"/>
    </w:rPr>
  </w:style>
  <w:style w:type="character" w:styleId="Hyperlink">
    <w:name w:val="Hyperlink"/>
    <w:basedOn w:val="DefaultParagraphFont"/>
    <w:uiPriority w:val="99"/>
    <w:semiHidden/>
    <w:unhideWhenUsed/>
    <w:rsid w:val="00ED213E"/>
    <w:rPr>
      <w:color w:val="0000FF"/>
      <w:u w:val="single"/>
    </w:rPr>
  </w:style>
  <w:style w:type="character" w:customStyle="1" w:styleId="Heading8Char">
    <w:name w:val="Heading 8 Char"/>
    <w:basedOn w:val="DefaultParagraphFont"/>
    <w:link w:val="Heading8"/>
    <w:semiHidden/>
    <w:rsid w:val="009435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435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99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ex_Discrimination_Act_197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Protection_from_Harassment_Act_19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Employment_Equality_(Sexual_Orientation)_Regulations_2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Equality_Act_2010" TargetMode="External"/><Relationship Id="rId5" Type="http://schemas.openxmlformats.org/officeDocument/2006/relationships/numbering" Target="numbering.xml"/><Relationship Id="rId15" Type="http://schemas.openxmlformats.org/officeDocument/2006/relationships/hyperlink" Target="https://en.wikipedia.org/wiki/Disability_Discrimination_Act_199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Equal_Pay_Act_1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1" ma:contentTypeDescription="Create a new document." ma:contentTypeScope="" ma:versionID="2112ea7f72a9a6f3f2b2768550fcacd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f73da1e2d7c6f4fe45484abfb3ade42c"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2C04-30E0-4C08-9A78-F91818BFD5BA}">
  <ds:schemaRefs>
    <ds:schemaRef ds:uri="http://schemas.microsoft.com/sharepoint/v3/contenttype/forms"/>
  </ds:schemaRefs>
</ds:datastoreItem>
</file>

<file path=customXml/itemProps2.xml><?xml version="1.0" encoding="utf-8"?>
<ds:datastoreItem xmlns:ds="http://schemas.openxmlformats.org/officeDocument/2006/customXml" ds:itemID="{25F9B7BE-84C7-4C3C-B9CF-1990B1F6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670DD-4692-43C3-AB8C-1D7FDEEEBBDD}">
  <ds:schemaRefs>
    <ds:schemaRef ds:uri="http://schemas.microsoft.com/office/infopath/2007/PartnerControls"/>
    <ds:schemaRef ds:uri="3ccea490-c3fc-40df-8884-cd05ee2bce4a"/>
    <ds:schemaRef ds:uri="4888bc76-639e-4478-be13-d652811efb7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9CA5825F-31A8-49EA-95FF-8C3612FE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4CT Limited | Finance Policy version 1 Reviewed: December 2011</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dc:creator>
  <cp:lastModifiedBy>Louise Russell</cp:lastModifiedBy>
  <cp:revision>2</cp:revision>
  <cp:lastPrinted>2012-08-02T13:52:00Z</cp:lastPrinted>
  <dcterms:created xsi:type="dcterms:W3CDTF">2021-11-15T15:11:00Z</dcterms:created>
  <dcterms:modified xsi:type="dcterms:W3CDTF">2021-11-15T15:11:00Z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44400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